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449F4" w14:textId="0059D014" w:rsidR="00490AE5" w:rsidRPr="00C83186" w:rsidRDefault="00490AE5" w:rsidP="00C83186">
      <w:pPr>
        <w:pStyle w:val="Title"/>
        <w:rPr>
          <w:b/>
          <w:sz w:val="36"/>
        </w:rPr>
      </w:pPr>
      <w:r w:rsidRPr="00C83186">
        <w:rPr>
          <w:b/>
          <w:sz w:val="36"/>
        </w:rPr>
        <w:t>Development and use of service delivery indicators for monitoring rural water services</w:t>
      </w:r>
    </w:p>
    <w:p w14:paraId="2F4109FE" w14:textId="33A3FFEC" w:rsidR="00050F23" w:rsidRPr="00915D21" w:rsidRDefault="008F2D04" w:rsidP="00490AE5">
      <w:pPr>
        <w:rPr>
          <w:b/>
        </w:rPr>
      </w:pPr>
      <w:r w:rsidRPr="00915D21">
        <w:rPr>
          <w:b/>
        </w:rPr>
        <w:t>Marieke Adank</w:t>
      </w:r>
      <w:r w:rsidR="004F001D" w:rsidRPr="00915D21">
        <w:rPr>
          <w:b/>
        </w:rPr>
        <w:t>,</w:t>
      </w:r>
      <w:r w:rsidRPr="00915D21">
        <w:rPr>
          <w:b/>
        </w:rPr>
        <w:t xml:space="preserve"> Stef Smits</w:t>
      </w:r>
      <w:r w:rsidR="004F001D" w:rsidRPr="00915D21">
        <w:rPr>
          <w:b/>
        </w:rPr>
        <w:t>,</w:t>
      </w:r>
      <w:r w:rsidRPr="00915D21">
        <w:rPr>
          <w:b/>
        </w:rPr>
        <w:t xml:space="preserve"> </w:t>
      </w:r>
      <w:r w:rsidR="00186EA1" w:rsidRPr="00915D21">
        <w:rPr>
          <w:b/>
        </w:rPr>
        <w:t>Val</w:t>
      </w:r>
      <w:r w:rsidR="00186EA1">
        <w:rPr>
          <w:b/>
        </w:rPr>
        <w:t>é</w:t>
      </w:r>
      <w:r w:rsidR="00186EA1" w:rsidRPr="00915D21">
        <w:rPr>
          <w:b/>
        </w:rPr>
        <w:t xml:space="preserve">rie </w:t>
      </w:r>
      <w:r w:rsidRPr="00915D21">
        <w:rPr>
          <w:b/>
        </w:rPr>
        <w:t>Bey</w:t>
      </w:r>
      <w:r w:rsidR="004F001D" w:rsidRPr="00915D21">
        <w:rPr>
          <w:b/>
        </w:rPr>
        <w:t>,</w:t>
      </w:r>
      <w:r w:rsidRPr="00915D21">
        <w:rPr>
          <w:b/>
        </w:rPr>
        <w:t xml:space="preserve"> Jeske Verhoeven</w:t>
      </w:r>
      <w:r w:rsidR="004F001D" w:rsidRPr="00915D21">
        <w:rPr>
          <w:b/>
        </w:rPr>
        <w:t xml:space="preserve"> and </w:t>
      </w:r>
      <w:r w:rsidRPr="00915D21">
        <w:rPr>
          <w:b/>
        </w:rPr>
        <w:t>Christelle Pezon</w:t>
      </w:r>
      <w:r w:rsidR="00050F23">
        <w:rPr>
          <w:b/>
        </w:rPr>
        <w:t xml:space="preserve"> – April 2013</w:t>
      </w:r>
    </w:p>
    <w:p w14:paraId="5B293074" w14:textId="34A7B48E" w:rsidR="000D5B88" w:rsidRPr="008D702E" w:rsidRDefault="000D5B88" w:rsidP="00942607">
      <w:pPr>
        <w:rPr>
          <w:i/>
          <w:lang w:val="en-US"/>
        </w:rPr>
      </w:pPr>
      <w:bookmarkStart w:id="0" w:name="_Toc351642756"/>
      <w:r w:rsidRPr="008D702E">
        <w:rPr>
          <w:i/>
          <w:lang w:val="en-US"/>
        </w:rPr>
        <w:t xml:space="preserve">Service delivery indicators refer to sets of indicators that allow measuring rural water service delivery, as expressed in terms of the level of water service provided, as well as performance of service providers and service authorities. </w:t>
      </w:r>
      <w:r w:rsidR="008D702E">
        <w:rPr>
          <w:i/>
          <w:lang w:val="en-US"/>
        </w:rPr>
        <w:t xml:space="preserve">They </w:t>
      </w:r>
      <w:r w:rsidR="00C41280">
        <w:rPr>
          <w:i/>
          <w:lang w:val="en-US"/>
        </w:rPr>
        <w:t>can be used to</w:t>
      </w:r>
      <w:r w:rsidR="008D702E" w:rsidRPr="008D702E">
        <w:rPr>
          <w:i/>
          <w:lang w:val="en-US"/>
        </w:rPr>
        <w:t xml:space="preserve"> provide a comprehensive picture of service delivery, going beyond traditional indicator sets focused on coverage and functionality facilities. </w:t>
      </w:r>
      <w:r w:rsidRPr="008D702E">
        <w:rPr>
          <w:i/>
          <w:lang w:val="en-US"/>
        </w:rPr>
        <w:t xml:space="preserve">This paper presents the development and use of such indicators in various countries. </w:t>
      </w:r>
      <w:r w:rsidR="00942607" w:rsidRPr="008D702E">
        <w:rPr>
          <w:i/>
          <w:lang w:val="en-US"/>
        </w:rPr>
        <w:t xml:space="preserve">The definition and scoring of the indicators is country specific and </w:t>
      </w:r>
      <w:r w:rsidR="008D702E">
        <w:rPr>
          <w:i/>
          <w:lang w:val="en-US"/>
        </w:rPr>
        <w:t xml:space="preserve">ideally </w:t>
      </w:r>
      <w:r w:rsidR="00942607" w:rsidRPr="008D702E">
        <w:rPr>
          <w:i/>
          <w:lang w:val="en-US"/>
        </w:rPr>
        <w:t xml:space="preserve">based on national norms and standards, as set by government. </w:t>
      </w:r>
      <w:r w:rsidRPr="008D702E">
        <w:rPr>
          <w:i/>
          <w:lang w:val="en-US"/>
        </w:rPr>
        <w:t xml:space="preserve">Its main added value lies in the potential for monitoring water services, informing direct support to service providers and capacity support to service authorities. It has also the potential to stimulate and facilitate better regulation of rural services. Finally, findings from the use of service delivery indicators, inform sector discussions </w:t>
      </w:r>
      <w:r w:rsidR="008D702E" w:rsidRPr="008D702E">
        <w:rPr>
          <w:i/>
          <w:lang w:val="en-US"/>
        </w:rPr>
        <w:t>and debate</w:t>
      </w:r>
      <w:r w:rsidRPr="008D702E">
        <w:rPr>
          <w:i/>
          <w:lang w:val="en-US"/>
        </w:rPr>
        <w:t xml:space="preserve">. One of the critical drawbacks of the service delivery indicators is that they represent a bigger set of data to be collected. </w:t>
      </w:r>
    </w:p>
    <w:p w14:paraId="3C1E9EF1" w14:textId="06CA7DCD" w:rsidR="00490AE5" w:rsidRPr="00915D21" w:rsidRDefault="004F001D" w:rsidP="00276212">
      <w:pPr>
        <w:pStyle w:val="Heading1"/>
      </w:pPr>
      <w:r w:rsidRPr="00915D21">
        <w:t>Introduction</w:t>
      </w:r>
      <w:bookmarkEnd w:id="0"/>
    </w:p>
    <w:p w14:paraId="786EC0AB" w14:textId="77777777" w:rsidR="00D91763" w:rsidRDefault="00D91763" w:rsidP="00D91763">
      <w:r>
        <w:t xml:space="preserve">As there is a broader drive to looking at rural water supplies as a service instead of a focus on installing infrastructure (Lockwood and Smits, 2011), there is a need to also monitor how services are provided. </w:t>
      </w:r>
      <w:r w:rsidRPr="00915D21">
        <w:t>Service delivery indicators allow rural water service delivery</w:t>
      </w:r>
      <w:r>
        <w:t xml:space="preserve"> (</w:t>
      </w:r>
      <w:r w:rsidRPr="00915D21">
        <w:t>expressed in terms of the level of water service provided</w:t>
      </w:r>
      <w:r>
        <w:t>, as well as the conditions for the provision of sustainable services) to be measured and monitored</w:t>
      </w:r>
      <w:r w:rsidRPr="00915D21">
        <w:t xml:space="preserve">. </w:t>
      </w:r>
    </w:p>
    <w:p w14:paraId="4641733F" w14:textId="206000C0" w:rsidR="00D91763" w:rsidRDefault="00D91763" w:rsidP="00D91763">
      <w:r>
        <w:t xml:space="preserve">Over the past years, IRC has been involved in the development and use of various sets of service </w:t>
      </w:r>
      <w:proofErr w:type="gramStart"/>
      <w:r>
        <w:t>delivery</w:t>
      </w:r>
      <w:proofErr w:type="gramEnd"/>
      <w:r>
        <w:t xml:space="preserve"> indicators for a range of countries. This </w:t>
      </w:r>
      <w:r w:rsidRPr="000A0795">
        <w:t>include</w:t>
      </w:r>
      <w:r>
        <w:t>s IRC’s</w:t>
      </w:r>
      <w:r w:rsidRPr="000A0795">
        <w:t xml:space="preserve"> involvement in (</w:t>
      </w:r>
      <w:proofErr w:type="spellStart"/>
      <w:r w:rsidRPr="000A0795">
        <w:t>i</w:t>
      </w:r>
      <w:proofErr w:type="spellEnd"/>
      <w:r w:rsidRPr="000A0795">
        <w:t>) assessing service levels in relation to life-cycle costs  in Ghana, Burkina Faso, Mozambique and India (</w:t>
      </w:r>
      <w:proofErr w:type="spellStart"/>
      <w:r w:rsidRPr="000A0795">
        <w:t>WASHCost</w:t>
      </w:r>
      <w:proofErr w:type="spellEnd"/>
      <w:r w:rsidRPr="000A0795">
        <w:t>) (ii) monitoring water services in Ghana and Uganda (as part of the Triple-S initiative) and in Burkina Faso (under the WA-WASH / Triple-S initiative); (iii) monitoring the sustainability of service delivery in  Latin America (Smits et al., 2013 forthcoming); and (v) studying the impact of post-construction support in Colombia (Smits et al., 2012).</w:t>
      </w:r>
      <w:r w:rsidRPr="00915D21">
        <w:t xml:space="preserve"> </w:t>
      </w:r>
      <w:r>
        <w:t xml:space="preserve">This paper provides a critical reflection on service delivery indicators, by describing these indicators, the way they are conceptualized and defined, and by reflecting on the experiences with their application. </w:t>
      </w:r>
    </w:p>
    <w:p w14:paraId="430F8A82" w14:textId="0DE0A75B" w:rsidR="00D91763" w:rsidRDefault="00D91763" w:rsidP="00D91763">
      <w:pPr>
        <w:pStyle w:val="Heading1"/>
      </w:pPr>
      <w:r>
        <w:t>T</w:t>
      </w:r>
      <w:r w:rsidRPr="00915D21">
        <w:t xml:space="preserve">he </w:t>
      </w:r>
      <w:r w:rsidR="000D5B88">
        <w:t>‘</w:t>
      </w:r>
      <w:r w:rsidRPr="00915D21">
        <w:t>what</w:t>
      </w:r>
      <w:r w:rsidR="000D5B88">
        <w:t>’</w:t>
      </w:r>
      <w:r w:rsidRPr="00915D21">
        <w:t xml:space="preserve"> and the </w:t>
      </w:r>
      <w:r w:rsidR="000D5B88">
        <w:t>‘</w:t>
      </w:r>
      <w:r w:rsidRPr="00915D21">
        <w:t>why</w:t>
      </w:r>
      <w:r w:rsidR="000D5B88">
        <w:t>’</w:t>
      </w:r>
      <w:r w:rsidRPr="00915D21">
        <w:t xml:space="preserve"> of service delivery indicators</w:t>
      </w:r>
    </w:p>
    <w:p w14:paraId="7DC4578B" w14:textId="2DDB27C9" w:rsidR="007D2171" w:rsidRPr="00915D21" w:rsidRDefault="00490AE5" w:rsidP="00490AE5">
      <w:r w:rsidRPr="00915D21">
        <w:t>Since the water and sanitation decade of the 1980s, many countries</w:t>
      </w:r>
      <w:r w:rsidR="004F001D" w:rsidRPr="00915D21">
        <w:t xml:space="preserve"> </w:t>
      </w:r>
      <w:r w:rsidRPr="00915D21">
        <w:t xml:space="preserve">have seen </w:t>
      </w:r>
      <w:r w:rsidR="004F001D" w:rsidRPr="00915D21">
        <w:t>encouraging reduction</w:t>
      </w:r>
      <w:r w:rsidRPr="00915D21">
        <w:t xml:space="preserve"> in </w:t>
      </w:r>
      <w:r w:rsidR="004F001D" w:rsidRPr="00915D21">
        <w:t>the percentage of the population without</w:t>
      </w:r>
      <w:r w:rsidR="007D2171" w:rsidRPr="00915D21">
        <w:t xml:space="preserve"> access to improved water </w:t>
      </w:r>
      <w:r w:rsidRPr="00915D21">
        <w:t xml:space="preserve">services. </w:t>
      </w:r>
      <w:r w:rsidR="00A77325">
        <w:t xml:space="preserve">Emphasis has been </w:t>
      </w:r>
      <w:r w:rsidR="007D2171" w:rsidRPr="00915D21">
        <w:t>on the implementation of new schemes in order to increase coverage. T</w:t>
      </w:r>
      <w:r w:rsidRPr="00915D21">
        <w:t xml:space="preserve">he number of water schemes put in place and percentage of people covered by these schemes, were the key indicators for tracking change. </w:t>
      </w:r>
    </w:p>
    <w:p w14:paraId="705F6116" w14:textId="2BBE14EC" w:rsidR="007D2171" w:rsidRPr="00915D21" w:rsidRDefault="00490AE5" w:rsidP="00490AE5">
      <w:r w:rsidRPr="00915D21">
        <w:t xml:space="preserve">With increasing coverage and aging </w:t>
      </w:r>
      <w:r w:rsidR="007D2171" w:rsidRPr="00915D21">
        <w:t xml:space="preserve">of existing </w:t>
      </w:r>
      <w:r w:rsidRPr="00915D21">
        <w:t xml:space="preserve">schemes, functionality of </w:t>
      </w:r>
      <w:r w:rsidR="004F001D" w:rsidRPr="00915D21">
        <w:t>these</w:t>
      </w:r>
      <w:r w:rsidRPr="00915D21">
        <w:t xml:space="preserve"> became a bigger issue</w:t>
      </w:r>
      <w:r w:rsidR="007D2171" w:rsidRPr="00915D21">
        <w:t xml:space="preserve"> and an important additional indicator for assessing and monitoring water services. </w:t>
      </w:r>
      <w:r w:rsidR="00673B87">
        <w:t xml:space="preserve">In Uganda for </w:t>
      </w:r>
      <w:r w:rsidR="00673B87">
        <w:lastRenderedPageBreak/>
        <w:t>example, functionality (</w:t>
      </w:r>
      <w:r w:rsidR="00186EA1">
        <w:t xml:space="preserve">for point sources, </w:t>
      </w:r>
      <w:r w:rsidR="00673B87" w:rsidRPr="00673B87">
        <w:t>% of improved water sources that are functional at time of spot-check</w:t>
      </w:r>
      <w:r w:rsidR="00673B87">
        <w:t>) is one of the country’s “golden indicators”</w:t>
      </w:r>
      <w:r w:rsidR="00C83186">
        <w:rPr>
          <w:rStyle w:val="FootnoteReference"/>
        </w:rPr>
        <w:footnoteReference w:id="2"/>
      </w:r>
      <w:r w:rsidR="00673B87">
        <w:t>.</w:t>
      </w:r>
      <w:r w:rsidR="00673B87" w:rsidRPr="00B7292B">
        <w:rPr>
          <w:color w:val="A6A6A6" w:themeColor="background1" w:themeShade="A6"/>
        </w:rPr>
        <w:t xml:space="preserve"> </w:t>
      </w:r>
      <w:r w:rsidR="007D2171" w:rsidRPr="00B7292B">
        <w:rPr>
          <w:color w:val="A6A6A6" w:themeColor="background1" w:themeShade="A6"/>
        </w:rPr>
        <w:t xml:space="preserve"> </w:t>
      </w:r>
    </w:p>
    <w:p w14:paraId="161C70EC" w14:textId="54901EAC" w:rsidR="00490AE5" w:rsidRPr="00915D21" w:rsidRDefault="00915D21" w:rsidP="00490AE5">
      <w:r>
        <w:t xml:space="preserve">When assessed on </w:t>
      </w:r>
      <w:r w:rsidR="005E1195">
        <w:t>a</w:t>
      </w:r>
      <w:r>
        <w:t xml:space="preserve"> continuous basis, functionality can give a good idea of the reliability of water facilities. </w:t>
      </w:r>
      <w:r w:rsidR="004E448C" w:rsidRPr="00915D21">
        <w:t>A facility can for example be functioning at one point in time, while not providing reliable services in the dry seasons</w:t>
      </w:r>
      <w:r w:rsidR="004E448C">
        <w:t>.</w:t>
      </w:r>
      <w:r w:rsidR="004E448C" w:rsidRPr="00915D21">
        <w:t xml:space="preserve"> </w:t>
      </w:r>
      <w:r w:rsidR="00490AE5" w:rsidRPr="00915D21">
        <w:t xml:space="preserve">However, functionality </w:t>
      </w:r>
      <w:r w:rsidR="004E448C">
        <w:t xml:space="preserve">and reliability </w:t>
      </w:r>
      <w:r w:rsidR="00490AE5" w:rsidRPr="00915D21">
        <w:t xml:space="preserve">do </w:t>
      </w:r>
      <w:r w:rsidR="007D2171" w:rsidRPr="00915D21">
        <w:t xml:space="preserve">not </w:t>
      </w:r>
      <w:r w:rsidR="00490AE5" w:rsidRPr="00915D21">
        <w:t xml:space="preserve">say </w:t>
      </w:r>
      <w:r>
        <w:t>everything</w:t>
      </w:r>
      <w:r w:rsidR="00490AE5" w:rsidRPr="00915D21">
        <w:t xml:space="preserve"> about the level of service that a </w:t>
      </w:r>
      <w:r w:rsidR="007D2171" w:rsidRPr="00915D21">
        <w:t>water facility p</w:t>
      </w:r>
      <w:r w:rsidR="00490AE5" w:rsidRPr="00915D21">
        <w:t xml:space="preserve">rovides and </w:t>
      </w:r>
      <w:r w:rsidR="005E1195">
        <w:t xml:space="preserve">the </w:t>
      </w:r>
      <w:r w:rsidR="00D02CC7">
        <w:t xml:space="preserve">access to water services </w:t>
      </w:r>
      <w:r w:rsidR="005E1195">
        <w:t>by</w:t>
      </w:r>
      <w:r w:rsidR="00D02CC7">
        <w:t xml:space="preserve"> </w:t>
      </w:r>
      <w:r w:rsidR="00490AE5" w:rsidRPr="00915D21">
        <w:t>people.</w:t>
      </w:r>
      <w:r w:rsidR="004E448C">
        <w:t xml:space="preserve"> Well-functioning facilities can for example provide reliable services so </w:t>
      </w:r>
      <w:r w:rsidR="00490AE5" w:rsidRPr="00915D21">
        <w:t xml:space="preserve">far from its </w:t>
      </w:r>
      <w:r w:rsidR="007D2171" w:rsidRPr="00915D21">
        <w:t xml:space="preserve">intended </w:t>
      </w:r>
      <w:r w:rsidR="00490AE5" w:rsidRPr="00915D21">
        <w:t>users</w:t>
      </w:r>
      <w:r w:rsidR="005E1195">
        <w:t>,</w:t>
      </w:r>
      <w:r w:rsidR="00490AE5" w:rsidRPr="00915D21">
        <w:t xml:space="preserve"> that it is in reality not </w:t>
      </w:r>
      <w:r w:rsidR="007D2171" w:rsidRPr="00915D21">
        <w:t xml:space="preserve">or hardly </w:t>
      </w:r>
      <w:r w:rsidR="00490AE5" w:rsidRPr="00915D21">
        <w:t>used</w:t>
      </w:r>
      <w:r w:rsidR="007D2171" w:rsidRPr="00915D21">
        <w:t>;</w:t>
      </w:r>
      <w:r w:rsidR="00490AE5" w:rsidRPr="00915D21">
        <w:t xml:space="preserve"> or </w:t>
      </w:r>
      <w:r w:rsidR="007D2171" w:rsidRPr="00915D21">
        <w:t>i</w:t>
      </w:r>
      <w:r w:rsidR="004F001D" w:rsidRPr="00915D21">
        <w:t>t</w:t>
      </w:r>
      <w:r w:rsidR="007D2171" w:rsidRPr="00915D21">
        <w:t xml:space="preserve"> may </w:t>
      </w:r>
      <w:r w:rsidR="00490AE5" w:rsidRPr="00915D21">
        <w:t xml:space="preserve">provide </w:t>
      </w:r>
      <w:r w:rsidR="00B35E0A" w:rsidRPr="00915D21">
        <w:t xml:space="preserve">water of unacceptable quality. </w:t>
      </w:r>
      <w:r w:rsidR="00501585">
        <w:t xml:space="preserve">There is thus a need to look beyond functionality and reliability as well. </w:t>
      </w:r>
    </w:p>
    <w:p w14:paraId="0182A55D" w14:textId="4C4DAFA4" w:rsidR="00501585" w:rsidRDefault="00050F23" w:rsidP="00915D21">
      <w:r>
        <w:rPr>
          <w:noProof/>
          <w:lang w:eastAsia="en-GB"/>
        </w:rPr>
        <mc:AlternateContent>
          <mc:Choice Requires="wps">
            <w:drawing>
              <wp:anchor distT="0" distB="0" distL="114300" distR="114300" simplePos="0" relativeHeight="251659264" behindDoc="0" locked="0" layoutInCell="1" allowOverlap="1" wp14:anchorId="23BFD9F0" wp14:editId="5B57F481">
                <wp:simplePos x="0" y="0"/>
                <wp:positionH relativeFrom="column">
                  <wp:posOffset>2647950</wp:posOffset>
                </wp:positionH>
                <wp:positionV relativeFrom="paragraph">
                  <wp:posOffset>2212975</wp:posOffset>
                </wp:positionV>
                <wp:extent cx="3581400" cy="334327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3581400"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DF21B" w14:textId="38217F8D" w:rsidR="008D702E" w:rsidRPr="003578BB" w:rsidRDefault="008D702E" w:rsidP="00533ADC">
                            <w:pPr>
                              <w:rPr>
                                <w:b/>
                                <w:sz w:val="18"/>
                              </w:rPr>
                            </w:pPr>
                            <w:r w:rsidRPr="003578BB">
                              <w:rPr>
                                <w:b/>
                                <w:sz w:val="18"/>
                              </w:rPr>
                              <w:t xml:space="preserve">Box </w:t>
                            </w:r>
                            <w:r>
                              <w:rPr>
                                <w:b/>
                                <w:sz w:val="18"/>
                              </w:rPr>
                              <w:t>1</w:t>
                            </w:r>
                            <w:r w:rsidRPr="003578BB">
                              <w:rPr>
                                <w:b/>
                                <w:sz w:val="18"/>
                              </w:rPr>
                              <w:t>: User level indicators on users’ satisfaction and sense of ownership in Uganda</w:t>
                            </w:r>
                          </w:p>
                          <w:p w14:paraId="34CDD3B2" w14:textId="5CAD1951" w:rsidR="008D702E" w:rsidRPr="003578BB" w:rsidRDefault="008D702E" w:rsidP="00533ADC">
                            <w:pPr>
                              <w:rPr>
                                <w:sz w:val="18"/>
                              </w:rPr>
                            </w:pPr>
                            <w:r w:rsidRPr="003578BB">
                              <w:rPr>
                                <w:sz w:val="18"/>
                              </w:rPr>
                              <w:t xml:space="preserve">In Uganda, a separate indicator set was developed to assess user satisfaction and ownership. Indicators include user satisfaction and perception of the main attributes of the water service: water quality (users’ perception of colour, taste and odour), quantity of water collected at the facility, accessibility and reliability of the service. </w:t>
                            </w:r>
                          </w:p>
                          <w:p w14:paraId="573F1DFE" w14:textId="77777777" w:rsidR="008D702E" w:rsidRPr="003578BB" w:rsidRDefault="008D702E" w:rsidP="00533ADC">
                            <w:pPr>
                              <w:rPr>
                                <w:sz w:val="18"/>
                              </w:rPr>
                            </w:pPr>
                            <w:r w:rsidRPr="003578BB">
                              <w:rPr>
                                <w:sz w:val="18"/>
                              </w:rPr>
                              <w:t>Users’ sense of ownership is measured through proxy indicators, such as their attendance of meetings organised by the water user committees, payment of fees for O&amp;M and participation in the maintenance of the facility and its surroundings</w:t>
                            </w:r>
                          </w:p>
                          <w:p w14:paraId="7FA332DE" w14:textId="2B6E7A4F" w:rsidR="008D702E" w:rsidRPr="003578BB" w:rsidRDefault="008D702E" w:rsidP="00533ADC">
                            <w:pPr>
                              <w:rPr>
                                <w:sz w:val="18"/>
                              </w:rPr>
                            </w:pPr>
                            <w:r w:rsidRPr="003578BB">
                              <w:rPr>
                                <w:sz w:val="18"/>
                              </w:rPr>
                              <w:t>Users’ sense of ownership is often enhanced by adequate demand creation and their participation in decision-making during the provision of the water facility. As mobilising communities before and during the provision of infrastructures, and regular follow-up after construction, are the responsibility of the service authority, these aspects are looked at under the Service authority performance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8.5pt;margin-top:174.25pt;width:282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" fillcolor="white [3201]" strokeweight=".5pt">
                <v:textbox>
                  <w:txbxContent>
                    <w:p w14:paraId="61CDF21B" w14:textId="38217F8D" w:rsidR="008D702E" w:rsidRPr="003578BB" w:rsidRDefault="008D702E" w:rsidP="00533ADC">
                      <w:pPr>
                        <w:rPr>
                          <w:b/>
                          <w:sz w:val="18"/>
                        </w:rPr>
                      </w:pPr>
                      <w:r w:rsidRPr="003578BB">
                        <w:rPr>
                          <w:b/>
                          <w:sz w:val="18"/>
                        </w:rPr>
                        <w:t xml:space="preserve">Box </w:t>
                      </w:r>
                      <w:r>
                        <w:rPr>
                          <w:b/>
                          <w:sz w:val="18"/>
                        </w:rPr>
                        <w:t>1</w:t>
                      </w:r>
                      <w:r w:rsidRPr="003578BB">
                        <w:rPr>
                          <w:b/>
                          <w:sz w:val="18"/>
                        </w:rPr>
                        <w:t>: User level indicators on users’ satisfaction and sense of ownership in Uganda</w:t>
                      </w:r>
                    </w:p>
                    <w:p w14:paraId="34CDD3B2" w14:textId="5CAD1951" w:rsidR="008D702E" w:rsidRPr="003578BB" w:rsidRDefault="008D702E" w:rsidP="00533ADC">
                      <w:pPr>
                        <w:rPr>
                          <w:sz w:val="18"/>
                        </w:rPr>
                      </w:pPr>
                      <w:r w:rsidRPr="003578BB">
                        <w:rPr>
                          <w:sz w:val="18"/>
                        </w:rPr>
                        <w:t xml:space="preserve">In Uganda, a separate indicator set was developed to assess user satisfaction and ownership. Indicators include user satisfaction and perception of the main attributes of the water service: water quality (users’ perception of colour, taste and odour), quantity of water collected at the facility, accessibility and reliability of the service. </w:t>
                      </w:r>
                    </w:p>
                    <w:p w14:paraId="573F1DFE" w14:textId="77777777" w:rsidR="008D702E" w:rsidRPr="003578BB" w:rsidRDefault="008D702E" w:rsidP="00533ADC">
                      <w:pPr>
                        <w:rPr>
                          <w:sz w:val="18"/>
                        </w:rPr>
                      </w:pPr>
                      <w:r w:rsidRPr="003578BB">
                        <w:rPr>
                          <w:sz w:val="18"/>
                        </w:rPr>
                        <w:t>Users’ sense of ownership is measured through proxy indicators, such as their attendance of meetings organised by the water user committees, payment of fees for O&amp;M and participation in the maintenance of the facility and its surroundings</w:t>
                      </w:r>
                    </w:p>
                    <w:p w14:paraId="7FA332DE" w14:textId="2B6E7A4F" w:rsidR="008D702E" w:rsidRPr="003578BB" w:rsidRDefault="008D702E" w:rsidP="00533ADC">
                      <w:pPr>
                        <w:rPr>
                          <w:sz w:val="18"/>
                        </w:rPr>
                      </w:pPr>
                      <w:r w:rsidRPr="003578BB">
                        <w:rPr>
                          <w:sz w:val="18"/>
                        </w:rPr>
                        <w:t>Users’ sense of ownership is often enhanced by adequate demand creation and their participation in decision-making during the provision of the water facility. As mobilising communities before and during the provision of infrastructures, and regular follow-up after construction, are the responsibility of the service authority, these aspects are looked at under the Service authority performance indicators.</w:t>
                      </w:r>
                    </w:p>
                  </w:txbxContent>
                </v:textbox>
                <w10:wrap type="square"/>
              </v:shape>
            </w:pict>
          </mc:Fallback>
        </mc:AlternateContent>
      </w:r>
      <w:r w:rsidR="00501585">
        <w:t xml:space="preserve">Indicators that describe the level of service provided, </w:t>
      </w:r>
      <w:r w:rsidR="00501585" w:rsidRPr="00915D21">
        <w:t>give a more comprehensive view of water services than functionality at a given moment in time</w:t>
      </w:r>
      <w:r w:rsidR="00501585">
        <w:t xml:space="preserve">. However, service level indicators </w:t>
      </w:r>
      <w:r w:rsidR="00501585" w:rsidRPr="00915D21">
        <w:t>do not give a good in</w:t>
      </w:r>
      <w:bookmarkStart w:id="1" w:name="_GoBack"/>
      <w:r w:rsidR="00501585" w:rsidRPr="00915D21">
        <w:t>d</w:t>
      </w:r>
      <w:bookmarkEnd w:id="1"/>
      <w:r w:rsidR="00501585" w:rsidRPr="00915D21">
        <w:t xml:space="preserve">ication of whether or not this service is likely to be sustained over time. </w:t>
      </w:r>
      <w:r w:rsidR="00501585">
        <w:t>To assess this,</w:t>
      </w:r>
      <w:r w:rsidR="00501585" w:rsidRPr="00915D21">
        <w:t xml:space="preserve"> there is a need to also look beyond the level of services provided and assess and monitor whether or not the conditions for sustainable water service provision, are in place. </w:t>
      </w:r>
      <w:r w:rsidR="00501585">
        <w:t xml:space="preserve">Well-performing service providers and service </w:t>
      </w:r>
      <w:proofErr w:type="gramStart"/>
      <w:r w:rsidR="00501585">
        <w:t>authorities,</w:t>
      </w:r>
      <w:proofErr w:type="gramEnd"/>
      <w:r w:rsidR="00501585">
        <w:t xml:space="preserve"> are such conditions. Service providers are responsible for the day to day management of water facilities, including their operation, maintenance, administration and financial management. Service authority functions </w:t>
      </w:r>
      <w:r w:rsidR="00501585" w:rsidRPr="00915D21">
        <w:t xml:space="preserve">include the monitoring and provision of direct support to (community-based) service providers, coordination, planning and budgeting </w:t>
      </w:r>
      <w:r w:rsidR="00501585">
        <w:t xml:space="preserve">(Lockwood and Smits, 2012). In order for service providers and authorities to undertake their functions, they need to be well-governed, resources and skilled. </w:t>
      </w:r>
    </w:p>
    <w:p w14:paraId="09146F36" w14:textId="1D9A8785" w:rsidR="009F4129" w:rsidRDefault="009F4129" w:rsidP="00442946">
      <w:bookmarkStart w:id="2" w:name="_Toc351642757"/>
      <w:r>
        <w:t xml:space="preserve">Service delivery indicators generally consist of a set of indicators related to: </w:t>
      </w:r>
    </w:p>
    <w:p w14:paraId="44D102D5" w14:textId="0A57A8E4" w:rsidR="009F4129" w:rsidRDefault="009F4129" w:rsidP="009F4129">
      <w:pPr>
        <w:pStyle w:val="ListParagraph"/>
        <w:numPr>
          <w:ilvl w:val="0"/>
          <w:numId w:val="15"/>
        </w:numPr>
      </w:pPr>
      <w:r>
        <w:t>Service level</w:t>
      </w:r>
    </w:p>
    <w:p w14:paraId="76D1BA7E" w14:textId="31CD92C4" w:rsidR="009F4129" w:rsidRDefault="009F4129" w:rsidP="009F4129">
      <w:pPr>
        <w:pStyle w:val="ListParagraph"/>
        <w:numPr>
          <w:ilvl w:val="0"/>
          <w:numId w:val="15"/>
        </w:numPr>
      </w:pPr>
      <w:r>
        <w:t>Service provider performance</w:t>
      </w:r>
    </w:p>
    <w:p w14:paraId="161367A0" w14:textId="77777777" w:rsidR="009F4129" w:rsidRDefault="009F4129" w:rsidP="009F4129">
      <w:pPr>
        <w:pStyle w:val="ListParagraph"/>
        <w:numPr>
          <w:ilvl w:val="0"/>
          <w:numId w:val="15"/>
        </w:numPr>
      </w:pPr>
      <w:r>
        <w:t>Service authority performance</w:t>
      </w:r>
    </w:p>
    <w:p w14:paraId="37CF2B2B" w14:textId="0F969F0A" w:rsidR="00442946" w:rsidRPr="00915D21" w:rsidRDefault="009F4129" w:rsidP="009F4129">
      <w:r>
        <w:t xml:space="preserve">Water users who value the provided water services are likely to be more willing to contribute to its sustenance. This is sometimes included as a separate indicator set (see box </w:t>
      </w:r>
      <w:r w:rsidR="000D5B88">
        <w:t>1</w:t>
      </w:r>
      <w:r>
        <w:t xml:space="preserve">), or included in the service level indicator set. </w:t>
      </w:r>
    </w:p>
    <w:p w14:paraId="21B7D9FA" w14:textId="3CE8910A" w:rsidR="00442946" w:rsidRPr="00915D21" w:rsidRDefault="00E37059" w:rsidP="00442946">
      <w:r>
        <w:t xml:space="preserve">In the next section we take </w:t>
      </w:r>
      <w:r w:rsidR="00442946" w:rsidRPr="00915D21">
        <w:t xml:space="preserve">a closer look at these essential elements of service delivery indicators, by going through each of the sub-sets (service levels, service provider performance and service authority performance). </w:t>
      </w:r>
    </w:p>
    <w:p w14:paraId="25321EFE" w14:textId="77777777" w:rsidR="00442946" w:rsidRPr="00442946" w:rsidRDefault="00442946" w:rsidP="00442946"/>
    <w:p w14:paraId="0EDBC194" w14:textId="6DE68EE8" w:rsidR="004F001D" w:rsidRPr="00915D21" w:rsidRDefault="00DF6541" w:rsidP="00276212">
      <w:pPr>
        <w:pStyle w:val="Heading1"/>
      </w:pPr>
      <w:r>
        <w:t>Indicators for assessing and monitoring service level</w:t>
      </w:r>
      <w:bookmarkEnd w:id="2"/>
      <w:r w:rsidR="00D91763">
        <w:t>s</w:t>
      </w:r>
    </w:p>
    <w:p w14:paraId="2D985A0C" w14:textId="70546CAF" w:rsidR="00F23049" w:rsidRDefault="007D2171" w:rsidP="00043A41">
      <w:r w:rsidRPr="00915D21">
        <w:t xml:space="preserve">The </w:t>
      </w:r>
      <w:r w:rsidRPr="00442946">
        <w:t xml:space="preserve">level of </w:t>
      </w:r>
      <w:r w:rsidR="00F23049">
        <w:t xml:space="preserve">water </w:t>
      </w:r>
      <w:r w:rsidRPr="00442946">
        <w:t>service</w:t>
      </w:r>
      <w:r w:rsidRPr="00915D21">
        <w:t xml:space="preserve"> provided or accessed can be described in terms of the </w:t>
      </w:r>
      <w:r w:rsidR="00A75401" w:rsidRPr="00915D21">
        <w:t>reliability and accessibility of the service, and the quantity and quality of the water provided</w:t>
      </w:r>
      <w:r w:rsidRPr="00915D21">
        <w:t xml:space="preserve"> or </w:t>
      </w:r>
      <w:r w:rsidR="00DF6541">
        <w:t>used</w:t>
      </w:r>
      <w:r w:rsidR="00A75401" w:rsidRPr="00915D21">
        <w:t xml:space="preserve">. </w:t>
      </w:r>
      <w:r w:rsidR="00DF6541">
        <w:t xml:space="preserve">Reliability, accessibility, water quantity and water quality can thus be used as indicators for determining the level of water services. </w:t>
      </w:r>
      <w:r w:rsidR="00F23049" w:rsidRPr="00043A41">
        <w:rPr>
          <w:b/>
        </w:rPr>
        <w:t>Reliability</w:t>
      </w:r>
      <w:r w:rsidR="00F23049" w:rsidRPr="00F23049">
        <w:t xml:space="preserve"> of the service is typically defined as the proportion of the time that it functions to its prescribed level. </w:t>
      </w:r>
      <w:r w:rsidR="00F23049" w:rsidRPr="00043A41">
        <w:rPr>
          <w:b/>
        </w:rPr>
        <w:t>Accessibility</w:t>
      </w:r>
      <w:r w:rsidR="00F23049">
        <w:t xml:space="preserve"> can be defined in terms of the </w:t>
      </w:r>
      <w:r w:rsidR="00F23049" w:rsidRPr="00043A41">
        <w:t xml:space="preserve">distance, from a household or the centre of a community to a water point. </w:t>
      </w:r>
      <w:r w:rsidR="009E04C4" w:rsidRPr="00043A41">
        <w:t>A</w:t>
      </w:r>
      <w:r w:rsidR="00F23049" w:rsidRPr="00043A41">
        <w:t xml:space="preserve">lso </w:t>
      </w:r>
      <w:r w:rsidR="009E04C4" w:rsidRPr="00043A41">
        <w:t xml:space="preserve">other </w:t>
      </w:r>
      <w:r w:rsidR="00F23049" w:rsidRPr="00043A41">
        <w:t>national or international norms</w:t>
      </w:r>
      <w:r w:rsidR="009E04C4" w:rsidRPr="00043A41">
        <w:t xml:space="preserve"> can be used</w:t>
      </w:r>
      <w:r w:rsidR="00F23049" w:rsidRPr="00043A41">
        <w:t xml:space="preserve">, such as the </w:t>
      </w:r>
      <w:r w:rsidR="00F23049" w:rsidRPr="00043A41">
        <w:rPr>
          <w:b/>
        </w:rPr>
        <w:t>number of people</w:t>
      </w:r>
      <w:r w:rsidR="00F23049" w:rsidRPr="00043A41">
        <w:t xml:space="preserve"> sharing a point source (also known as ‘crowding’). </w:t>
      </w:r>
      <w:r w:rsidR="00F23049" w:rsidRPr="00043A41">
        <w:rPr>
          <w:b/>
        </w:rPr>
        <w:t>Quantity</w:t>
      </w:r>
      <w:r w:rsidR="00F23049" w:rsidRPr="00043A41">
        <w:t xml:space="preserve"> is measured in litres per capita per day (</w:t>
      </w:r>
      <w:proofErr w:type="spellStart"/>
      <w:r w:rsidR="00F23049" w:rsidRPr="00043A41">
        <w:t>lpcd</w:t>
      </w:r>
      <w:proofErr w:type="spellEnd"/>
      <w:r w:rsidR="00F23049" w:rsidRPr="00043A41">
        <w:t xml:space="preserve">) and </w:t>
      </w:r>
      <w:r w:rsidR="00F23049" w:rsidRPr="00043A41">
        <w:rPr>
          <w:b/>
        </w:rPr>
        <w:t>quality</w:t>
      </w:r>
      <w:r w:rsidR="00F23049" w:rsidRPr="00043A41">
        <w:t xml:space="preserve"> </w:t>
      </w:r>
      <w:r w:rsidR="00F23049" w:rsidRPr="00F23049">
        <w:t>is</w:t>
      </w:r>
      <w:r w:rsidR="00F23049" w:rsidRPr="00043A41">
        <w:t xml:space="preserve"> typically composed of one or more separate indicators looking at chemical and biological quality</w:t>
      </w:r>
      <w:r w:rsidR="009A5725" w:rsidRPr="00043A41">
        <w:t xml:space="preserve"> (Moriarty et al, 2011)</w:t>
      </w:r>
      <w:r w:rsidR="00F23049" w:rsidRPr="00043A41">
        <w:t xml:space="preserve">. </w:t>
      </w:r>
      <w:r w:rsidRPr="00915D21">
        <w:t>U</w:t>
      </w:r>
      <w:r w:rsidR="00A75401" w:rsidRPr="00915D21">
        <w:t xml:space="preserve">ser satisfaction and affordability of </w:t>
      </w:r>
      <w:r w:rsidRPr="00915D21">
        <w:t xml:space="preserve">water </w:t>
      </w:r>
      <w:r w:rsidR="00A75401" w:rsidRPr="00915D21">
        <w:t xml:space="preserve">services </w:t>
      </w:r>
      <w:r w:rsidR="00DF6541">
        <w:t>can be used as service level indicators as well.</w:t>
      </w:r>
      <w:r w:rsidR="00A75401" w:rsidRPr="00915D21">
        <w:t xml:space="preserve"> </w:t>
      </w:r>
    </w:p>
    <w:p w14:paraId="29DA5173" w14:textId="45F6583B" w:rsidR="00043A41" w:rsidRDefault="00B27AE9" w:rsidP="00043A41">
      <w:r>
        <w:t xml:space="preserve">The table below gives an example of values and levels of service on each of these indicators.  </w:t>
      </w:r>
    </w:p>
    <w:p w14:paraId="1F6276F3" w14:textId="5196F1C7" w:rsidR="00B27AE9" w:rsidRDefault="00B7292B" w:rsidP="00B7292B">
      <w:pPr>
        <w:pStyle w:val="Caption"/>
      </w:pPr>
      <w:r>
        <w:t xml:space="preserve">Table </w:t>
      </w:r>
      <w:r w:rsidR="005B3977">
        <w:fldChar w:fldCharType="begin"/>
      </w:r>
      <w:r w:rsidR="005B3977">
        <w:instrText xml:space="preserve"> SEQ Table \* ARABIC </w:instrText>
      </w:r>
      <w:r w:rsidR="005B3977">
        <w:fldChar w:fldCharType="separate"/>
      </w:r>
      <w:r>
        <w:rPr>
          <w:noProof/>
        </w:rPr>
        <w:t>1</w:t>
      </w:r>
      <w:r w:rsidR="005B3977">
        <w:rPr>
          <w:noProof/>
        </w:rPr>
        <w:fldChar w:fldCharType="end"/>
      </w:r>
      <w:r>
        <w:t xml:space="preserve">: </w:t>
      </w:r>
      <w:r w:rsidRPr="00B7292B">
        <w:t>Service levels, indicators and benchmarks in rural and urban Burkina Faso</w:t>
      </w:r>
    </w:p>
    <w:tbl>
      <w:tblPr>
        <w:tblStyle w:val="TableGrid1"/>
        <w:tblW w:w="8831" w:type="dxa"/>
        <w:jc w:val="center"/>
        <w:tblInd w:w="1884" w:type="dxa"/>
        <w:tblLayout w:type="fixed"/>
        <w:tblLook w:val="04A0" w:firstRow="1" w:lastRow="0" w:firstColumn="1" w:lastColumn="0" w:noHBand="0" w:noVBand="1"/>
      </w:tblPr>
      <w:tblGrid>
        <w:gridCol w:w="1841"/>
        <w:gridCol w:w="1980"/>
        <w:gridCol w:w="1710"/>
        <w:gridCol w:w="1710"/>
        <w:gridCol w:w="1590"/>
      </w:tblGrid>
      <w:tr w:rsidR="00D233D9" w:rsidRPr="003578BB" w14:paraId="77A9D56D" w14:textId="77777777" w:rsidTr="00B7292B">
        <w:trPr>
          <w:cnfStyle w:val="100000000000" w:firstRow="1" w:lastRow="0" w:firstColumn="0" w:lastColumn="0" w:oddVBand="0" w:evenVBand="0" w:oddHBand="0" w:evenHBand="0" w:firstRowFirstColumn="0" w:firstRowLastColumn="0" w:lastRowFirstColumn="0" w:lastRowLastColumn="0"/>
          <w:trHeight w:val="377"/>
          <w:jc w:val="center"/>
        </w:trPr>
        <w:tc>
          <w:tcPr>
            <w:tcW w:w="1841" w:type="dxa"/>
            <w:vMerge w:val="restart"/>
            <w:vAlign w:val="center"/>
          </w:tcPr>
          <w:p w14:paraId="404DCA93"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Service Level</w:t>
            </w:r>
          </w:p>
          <w:p w14:paraId="03613010"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Categories</w:t>
            </w:r>
          </w:p>
        </w:tc>
        <w:tc>
          <w:tcPr>
            <w:tcW w:w="1980" w:type="dxa"/>
            <w:vMerge w:val="restart"/>
            <w:vAlign w:val="center"/>
          </w:tcPr>
          <w:p w14:paraId="427D944E"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Quantity</w:t>
            </w:r>
          </w:p>
          <w:p w14:paraId="66AF3A8B"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(litres/capita-day)</w:t>
            </w:r>
          </w:p>
        </w:tc>
        <w:tc>
          <w:tcPr>
            <w:tcW w:w="1710" w:type="dxa"/>
            <w:vMerge w:val="restart"/>
            <w:vAlign w:val="center"/>
          </w:tcPr>
          <w:p w14:paraId="6B65C7E7"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Water Quality Monitoring</w:t>
            </w:r>
          </w:p>
        </w:tc>
        <w:tc>
          <w:tcPr>
            <w:tcW w:w="3300" w:type="dxa"/>
            <w:gridSpan w:val="2"/>
            <w:tcBorders>
              <w:right w:val="single" w:sz="18" w:space="0" w:color="000000"/>
            </w:tcBorders>
            <w:vAlign w:val="center"/>
          </w:tcPr>
          <w:p w14:paraId="3AB2C7DA"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Accessibility</w:t>
            </w:r>
          </w:p>
        </w:tc>
      </w:tr>
      <w:tr w:rsidR="00D233D9" w:rsidRPr="003578BB" w14:paraId="32F2B43F" w14:textId="77777777" w:rsidTr="00B7292B">
        <w:trPr>
          <w:trHeight w:val="530"/>
          <w:jc w:val="center"/>
        </w:trPr>
        <w:tc>
          <w:tcPr>
            <w:tcW w:w="1841" w:type="dxa"/>
            <w:vMerge/>
            <w:vAlign w:val="center"/>
          </w:tcPr>
          <w:p w14:paraId="496DB1A1" w14:textId="77777777" w:rsidR="00D233D9" w:rsidRPr="003578BB" w:rsidRDefault="00D233D9" w:rsidP="00D233D9">
            <w:pPr>
              <w:spacing w:before="0" w:after="0"/>
              <w:ind w:left="185" w:right="90"/>
              <w:jc w:val="center"/>
              <w:rPr>
                <w:rFonts w:asciiTheme="minorHAnsi" w:hAnsiTheme="minorHAnsi"/>
                <w:szCs w:val="18"/>
              </w:rPr>
            </w:pPr>
          </w:p>
        </w:tc>
        <w:tc>
          <w:tcPr>
            <w:tcW w:w="1980" w:type="dxa"/>
            <w:vMerge/>
            <w:vAlign w:val="center"/>
          </w:tcPr>
          <w:p w14:paraId="10445112" w14:textId="77777777" w:rsidR="00D233D9" w:rsidRPr="003578BB" w:rsidRDefault="00D233D9" w:rsidP="00D233D9">
            <w:pPr>
              <w:spacing w:before="0" w:after="0"/>
              <w:ind w:left="185" w:right="90"/>
              <w:jc w:val="center"/>
              <w:rPr>
                <w:rFonts w:asciiTheme="minorHAnsi" w:hAnsiTheme="minorHAnsi"/>
                <w:szCs w:val="18"/>
              </w:rPr>
            </w:pPr>
          </w:p>
        </w:tc>
        <w:tc>
          <w:tcPr>
            <w:tcW w:w="1710" w:type="dxa"/>
            <w:vMerge/>
            <w:vAlign w:val="center"/>
          </w:tcPr>
          <w:p w14:paraId="27E6E260" w14:textId="77777777" w:rsidR="00D233D9" w:rsidRPr="003578BB" w:rsidRDefault="00D233D9" w:rsidP="00D233D9">
            <w:pPr>
              <w:spacing w:before="0" w:after="0"/>
              <w:ind w:left="185" w:right="90"/>
              <w:jc w:val="center"/>
              <w:rPr>
                <w:rFonts w:asciiTheme="minorHAnsi" w:hAnsiTheme="minorHAnsi"/>
                <w:szCs w:val="18"/>
              </w:rPr>
            </w:pPr>
          </w:p>
        </w:tc>
        <w:tc>
          <w:tcPr>
            <w:tcW w:w="1710" w:type="dxa"/>
            <w:shd w:val="clear" w:color="auto" w:fill="0099CC"/>
            <w:vAlign w:val="center"/>
          </w:tcPr>
          <w:p w14:paraId="5F87579D" w14:textId="5701E838" w:rsidR="00D233D9" w:rsidRPr="003578BB" w:rsidRDefault="00D233D9" w:rsidP="00D233D9">
            <w:pPr>
              <w:spacing w:before="0" w:after="0"/>
              <w:ind w:left="185" w:right="90"/>
              <w:jc w:val="center"/>
              <w:rPr>
                <w:rFonts w:asciiTheme="minorHAnsi" w:hAnsiTheme="minorHAnsi"/>
                <w:b/>
                <w:color w:val="FFFFFF" w:themeColor="background1"/>
                <w:szCs w:val="18"/>
              </w:rPr>
            </w:pPr>
            <w:r w:rsidRPr="003578BB">
              <w:rPr>
                <w:rFonts w:asciiTheme="minorHAnsi" w:hAnsiTheme="minorHAnsi"/>
                <w:b/>
                <w:color w:val="FFFFFF" w:themeColor="background1"/>
                <w:szCs w:val="18"/>
              </w:rPr>
              <w:t>Distance from Household</w:t>
            </w:r>
          </w:p>
        </w:tc>
        <w:tc>
          <w:tcPr>
            <w:tcW w:w="1590" w:type="dxa"/>
            <w:tcBorders>
              <w:right w:val="single" w:sz="18" w:space="0" w:color="000000"/>
            </w:tcBorders>
            <w:shd w:val="clear" w:color="auto" w:fill="0099CC"/>
            <w:vAlign w:val="center"/>
          </w:tcPr>
          <w:p w14:paraId="6638FA99" w14:textId="77777777" w:rsidR="00D233D9" w:rsidRPr="003578BB" w:rsidRDefault="00D233D9" w:rsidP="00D233D9">
            <w:pPr>
              <w:spacing w:before="0" w:after="0"/>
              <w:ind w:left="185" w:right="90"/>
              <w:jc w:val="center"/>
              <w:rPr>
                <w:rFonts w:asciiTheme="minorHAnsi" w:hAnsiTheme="minorHAnsi"/>
                <w:b/>
                <w:color w:val="FFFFFF" w:themeColor="background1"/>
                <w:szCs w:val="18"/>
              </w:rPr>
            </w:pPr>
            <w:r w:rsidRPr="003578BB">
              <w:rPr>
                <w:rFonts w:asciiTheme="minorHAnsi" w:hAnsiTheme="minorHAnsi"/>
                <w:b/>
                <w:color w:val="FFFFFF" w:themeColor="background1"/>
                <w:szCs w:val="18"/>
              </w:rPr>
              <w:t>Crowding</w:t>
            </w:r>
          </w:p>
        </w:tc>
      </w:tr>
      <w:tr w:rsidR="00D233D9" w:rsidRPr="003578BB" w14:paraId="425D3BB2" w14:textId="77777777" w:rsidTr="00B7292B">
        <w:trPr>
          <w:trHeight w:val="485"/>
          <w:jc w:val="center"/>
        </w:trPr>
        <w:tc>
          <w:tcPr>
            <w:tcW w:w="1841" w:type="dxa"/>
            <w:shd w:val="clear" w:color="auto" w:fill="D1D2D4"/>
            <w:vAlign w:val="center"/>
          </w:tcPr>
          <w:p w14:paraId="23F9A79C"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High</w:t>
            </w:r>
          </w:p>
        </w:tc>
        <w:tc>
          <w:tcPr>
            <w:tcW w:w="1980" w:type="dxa"/>
            <w:shd w:val="clear" w:color="auto" w:fill="FFFFFF" w:themeFill="background1"/>
            <w:vAlign w:val="center"/>
          </w:tcPr>
          <w:p w14:paraId="3B9FD387"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Rural</w:t>
            </w:r>
          </w:p>
          <w:p w14:paraId="7D82C34C"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X  ≥ 60 </w:t>
            </w:r>
            <w:proofErr w:type="spellStart"/>
            <w:r w:rsidRPr="003578BB">
              <w:rPr>
                <w:rFonts w:asciiTheme="minorHAnsi" w:hAnsiTheme="minorHAnsi"/>
                <w:szCs w:val="18"/>
              </w:rPr>
              <w:t>lpcd</w:t>
            </w:r>
            <w:proofErr w:type="spellEnd"/>
          </w:p>
          <w:p w14:paraId="2308DE92" w14:textId="77777777" w:rsidR="00D233D9" w:rsidRPr="003578BB" w:rsidRDefault="00D233D9" w:rsidP="00D233D9">
            <w:pPr>
              <w:spacing w:before="0" w:after="0"/>
              <w:ind w:left="185" w:right="90"/>
              <w:jc w:val="center"/>
              <w:rPr>
                <w:rFonts w:asciiTheme="minorHAnsi" w:hAnsiTheme="minorHAnsi"/>
                <w:b/>
                <w:szCs w:val="18"/>
              </w:rPr>
            </w:pPr>
            <w:proofErr w:type="spellStart"/>
            <w:r w:rsidRPr="003578BB">
              <w:rPr>
                <w:rFonts w:asciiTheme="minorHAnsi" w:hAnsiTheme="minorHAnsi"/>
                <w:b/>
                <w:szCs w:val="18"/>
              </w:rPr>
              <w:t>Peri</w:t>
            </w:r>
            <w:proofErr w:type="spellEnd"/>
            <w:r w:rsidRPr="003578BB">
              <w:rPr>
                <w:rFonts w:asciiTheme="minorHAnsi" w:hAnsiTheme="minorHAnsi"/>
                <w:b/>
                <w:szCs w:val="18"/>
              </w:rPr>
              <w:t>-Urban</w:t>
            </w:r>
          </w:p>
          <w:p w14:paraId="264F5AF6" w14:textId="77777777" w:rsidR="00D233D9" w:rsidRPr="003578BB" w:rsidDel="00867D1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X ≥ 100 </w:t>
            </w:r>
            <w:proofErr w:type="spellStart"/>
            <w:r w:rsidRPr="003578BB">
              <w:rPr>
                <w:rFonts w:asciiTheme="minorHAnsi" w:hAnsiTheme="minorHAnsi"/>
                <w:szCs w:val="18"/>
              </w:rPr>
              <w:t>lpcd</w:t>
            </w:r>
            <w:proofErr w:type="spellEnd"/>
          </w:p>
        </w:tc>
        <w:tc>
          <w:tcPr>
            <w:tcW w:w="1710" w:type="dxa"/>
            <w:shd w:val="clear" w:color="auto" w:fill="FFFFFF" w:themeFill="background1"/>
            <w:vAlign w:val="center"/>
          </w:tcPr>
          <w:p w14:paraId="4D6153A0"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Formal Sources</w:t>
            </w:r>
          </w:p>
          <w:p w14:paraId="29D20D2C"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Annual testing</w:t>
            </w:r>
          </w:p>
        </w:tc>
        <w:tc>
          <w:tcPr>
            <w:tcW w:w="1710" w:type="dxa"/>
            <w:shd w:val="clear" w:color="auto" w:fill="FFFFFF" w:themeFill="background1"/>
            <w:vAlign w:val="center"/>
          </w:tcPr>
          <w:p w14:paraId="7A5027F9"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b/>
                <w:szCs w:val="18"/>
              </w:rPr>
              <w:t>Household Connection</w:t>
            </w:r>
          </w:p>
        </w:tc>
        <w:tc>
          <w:tcPr>
            <w:tcW w:w="1590" w:type="dxa"/>
            <w:vMerge w:val="restart"/>
            <w:tcBorders>
              <w:right w:val="single" w:sz="18" w:space="0" w:color="000000"/>
            </w:tcBorders>
            <w:shd w:val="clear" w:color="auto" w:fill="FFFFFF" w:themeFill="background1"/>
            <w:vAlign w:val="center"/>
          </w:tcPr>
          <w:p w14:paraId="701A773C" w14:textId="7F368C53"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POP</w:t>
            </w:r>
            <w:r w:rsidRPr="003578BB">
              <w:rPr>
                <w:rFonts w:asciiTheme="minorHAnsi" w:hAnsiTheme="minorHAnsi"/>
                <w:szCs w:val="18"/>
                <w:vertAlign w:val="subscript"/>
              </w:rPr>
              <w:t>OBSERVED</w:t>
            </w:r>
            <w:r w:rsidRPr="003578BB">
              <w:rPr>
                <w:rFonts w:asciiTheme="minorHAnsi" w:hAnsiTheme="minorHAnsi"/>
                <w:szCs w:val="18"/>
              </w:rPr>
              <w:t xml:space="preserve"> ≤ POP</w:t>
            </w:r>
            <w:r w:rsidRPr="003578BB">
              <w:rPr>
                <w:rFonts w:asciiTheme="minorHAnsi" w:hAnsiTheme="minorHAnsi"/>
                <w:szCs w:val="18"/>
                <w:vertAlign w:val="subscript"/>
              </w:rPr>
              <w:t>DESIGN</w:t>
            </w:r>
          </w:p>
        </w:tc>
      </w:tr>
      <w:tr w:rsidR="00D233D9" w:rsidRPr="003578BB" w14:paraId="54E6518A" w14:textId="77777777" w:rsidTr="00B7292B">
        <w:trPr>
          <w:trHeight w:val="96"/>
          <w:jc w:val="center"/>
        </w:trPr>
        <w:tc>
          <w:tcPr>
            <w:tcW w:w="1841" w:type="dxa"/>
            <w:shd w:val="clear" w:color="auto" w:fill="D1D2D4"/>
            <w:vAlign w:val="center"/>
          </w:tcPr>
          <w:p w14:paraId="0DC80218"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Intermediate</w:t>
            </w:r>
          </w:p>
        </w:tc>
        <w:tc>
          <w:tcPr>
            <w:tcW w:w="1980" w:type="dxa"/>
            <w:shd w:val="clear" w:color="auto" w:fill="FFFFFF" w:themeFill="background1"/>
            <w:vAlign w:val="center"/>
          </w:tcPr>
          <w:p w14:paraId="4D0511CF"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Rural</w:t>
            </w:r>
          </w:p>
          <w:p w14:paraId="568909CA" w14:textId="6AB24024"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60&gt; X ≥ 40 </w:t>
            </w:r>
            <w:proofErr w:type="spellStart"/>
            <w:r w:rsidRPr="003578BB">
              <w:rPr>
                <w:rFonts w:asciiTheme="minorHAnsi" w:hAnsiTheme="minorHAnsi"/>
                <w:szCs w:val="18"/>
              </w:rPr>
              <w:t>lpcd</w:t>
            </w:r>
            <w:proofErr w:type="spellEnd"/>
          </w:p>
          <w:p w14:paraId="3687FA02" w14:textId="77777777" w:rsidR="00D233D9" w:rsidRPr="003578BB" w:rsidRDefault="00D233D9" w:rsidP="00D233D9">
            <w:pPr>
              <w:spacing w:before="0" w:after="0"/>
              <w:ind w:left="185" w:right="90"/>
              <w:jc w:val="center"/>
              <w:rPr>
                <w:rFonts w:asciiTheme="minorHAnsi" w:hAnsiTheme="minorHAnsi"/>
                <w:b/>
                <w:szCs w:val="18"/>
              </w:rPr>
            </w:pPr>
            <w:proofErr w:type="spellStart"/>
            <w:r w:rsidRPr="003578BB">
              <w:rPr>
                <w:rFonts w:asciiTheme="minorHAnsi" w:hAnsiTheme="minorHAnsi"/>
                <w:b/>
                <w:szCs w:val="18"/>
              </w:rPr>
              <w:t>Peri</w:t>
            </w:r>
            <w:proofErr w:type="spellEnd"/>
            <w:r w:rsidRPr="003578BB">
              <w:rPr>
                <w:rFonts w:asciiTheme="minorHAnsi" w:hAnsiTheme="minorHAnsi"/>
                <w:b/>
                <w:szCs w:val="18"/>
              </w:rPr>
              <w:t>-Urban</w:t>
            </w:r>
          </w:p>
          <w:p w14:paraId="198EE1B7" w14:textId="77777777" w:rsidR="00D233D9" w:rsidRPr="003578BB" w:rsidDel="00867D1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100&gt; X ≥ 80 </w:t>
            </w:r>
            <w:proofErr w:type="spellStart"/>
            <w:r w:rsidRPr="003578BB">
              <w:rPr>
                <w:rFonts w:asciiTheme="minorHAnsi" w:hAnsiTheme="minorHAnsi"/>
                <w:szCs w:val="18"/>
              </w:rPr>
              <w:t>lpcd</w:t>
            </w:r>
            <w:proofErr w:type="spellEnd"/>
          </w:p>
        </w:tc>
        <w:tc>
          <w:tcPr>
            <w:tcW w:w="1710" w:type="dxa"/>
            <w:vMerge w:val="restart"/>
            <w:shd w:val="clear" w:color="auto" w:fill="FFFFFF" w:themeFill="background1"/>
            <w:vAlign w:val="center"/>
          </w:tcPr>
          <w:p w14:paraId="1975EBCB"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Formal Sources</w:t>
            </w:r>
          </w:p>
          <w:p w14:paraId="5BE39B11"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Tested once at installation or rehabilitation</w:t>
            </w:r>
          </w:p>
          <w:p w14:paraId="45C0D097" w14:textId="77777777" w:rsidR="00D233D9" w:rsidRPr="003578BB" w:rsidRDefault="00D233D9" w:rsidP="00D233D9">
            <w:pPr>
              <w:spacing w:before="0" w:after="0"/>
              <w:ind w:left="185" w:right="90"/>
              <w:jc w:val="center"/>
              <w:rPr>
                <w:rFonts w:asciiTheme="minorHAnsi" w:hAnsiTheme="minorHAnsi"/>
                <w:szCs w:val="18"/>
              </w:rPr>
            </w:pPr>
          </w:p>
          <w:p w14:paraId="110EFC89" w14:textId="77777777" w:rsidR="00D233D9" w:rsidRPr="003578BB" w:rsidRDefault="00D233D9" w:rsidP="00D233D9">
            <w:pPr>
              <w:spacing w:before="0" w:after="0"/>
              <w:ind w:left="185" w:right="90"/>
              <w:jc w:val="center"/>
              <w:rPr>
                <w:rFonts w:asciiTheme="minorHAnsi" w:hAnsiTheme="minorHAnsi"/>
                <w:szCs w:val="18"/>
              </w:rPr>
            </w:pPr>
          </w:p>
        </w:tc>
        <w:tc>
          <w:tcPr>
            <w:tcW w:w="1710" w:type="dxa"/>
            <w:vMerge w:val="restart"/>
            <w:shd w:val="clear" w:color="auto" w:fill="FFFFFF" w:themeFill="background1"/>
            <w:vAlign w:val="center"/>
          </w:tcPr>
          <w:p w14:paraId="06FAD8C8" w14:textId="77777777" w:rsidR="00D233D9" w:rsidRPr="003578BB" w:rsidRDefault="00D233D9" w:rsidP="00D233D9">
            <w:pPr>
              <w:spacing w:before="0" w:after="0"/>
              <w:ind w:left="185" w:right="90"/>
              <w:jc w:val="center"/>
              <w:rPr>
                <w:rFonts w:asciiTheme="minorHAnsi" w:hAnsiTheme="minorHAnsi"/>
                <w:b/>
                <w:szCs w:val="18"/>
              </w:rPr>
            </w:pPr>
            <w:proofErr w:type="spellStart"/>
            <w:r w:rsidRPr="003578BB">
              <w:rPr>
                <w:rFonts w:asciiTheme="minorHAnsi" w:hAnsiTheme="minorHAnsi"/>
                <w:b/>
                <w:szCs w:val="18"/>
              </w:rPr>
              <w:t>Handpump</w:t>
            </w:r>
            <w:proofErr w:type="spellEnd"/>
          </w:p>
          <w:p w14:paraId="605B2F4B"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X ≤ 1,000 meters</w:t>
            </w:r>
          </w:p>
          <w:p w14:paraId="156AA748"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Standpipe</w:t>
            </w:r>
          </w:p>
          <w:p w14:paraId="37A02E7A"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X ≤ 500 meters</w:t>
            </w:r>
          </w:p>
        </w:tc>
        <w:tc>
          <w:tcPr>
            <w:tcW w:w="1590" w:type="dxa"/>
            <w:vMerge/>
            <w:tcBorders>
              <w:right w:val="single" w:sz="18" w:space="0" w:color="000000"/>
            </w:tcBorders>
            <w:shd w:val="clear" w:color="auto" w:fill="FFFFFF" w:themeFill="background1"/>
            <w:vAlign w:val="center"/>
          </w:tcPr>
          <w:p w14:paraId="1723D670" w14:textId="77777777" w:rsidR="00D233D9" w:rsidRPr="003578BB" w:rsidRDefault="00D233D9" w:rsidP="00D233D9">
            <w:pPr>
              <w:spacing w:before="0" w:after="0"/>
              <w:ind w:left="185" w:right="90"/>
              <w:jc w:val="center"/>
              <w:rPr>
                <w:rFonts w:asciiTheme="minorHAnsi" w:hAnsiTheme="minorHAnsi"/>
                <w:szCs w:val="18"/>
              </w:rPr>
            </w:pPr>
          </w:p>
        </w:tc>
      </w:tr>
      <w:tr w:rsidR="00D233D9" w:rsidRPr="003578BB" w14:paraId="1117CE2F" w14:textId="77777777" w:rsidTr="00B7292B">
        <w:trPr>
          <w:trHeight w:val="413"/>
          <w:jc w:val="center"/>
        </w:trPr>
        <w:tc>
          <w:tcPr>
            <w:tcW w:w="1841" w:type="dxa"/>
            <w:shd w:val="clear" w:color="auto" w:fill="D1D2D4"/>
            <w:vAlign w:val="center"/>
          </w:tcPr>
          <w:p w14:paraId="22D30695"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Basic</w:t>
            </w:r>
          </w:p>
        </w:tc>
        <w:tc>
          <w:tcPr>
            <w:tcW w:w="1980" w:type="dxa"/>
            <w:shd w:val="clear" w:color="auto" w:fill="FFFFFF" w:themeFill="background1"/>
            <w:vAlign w:val="center"/>
          </w:tcPr>
          <w:p w14:paraId="14B047BE"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Rural</w:t>
            </w:r>
          </w:p>
          <w:p w14:paraId="49BCEDAF" w14:textId="535385CF"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40&gt; X ≥ 20 </w:t>
            </w:r>
            <w:proofErr w:type="spellStart"/>
            <w:r w:rsidRPr="003578BB">
              <w:rPr>
                <w:rFonts w:asciiTheme="minorHAnsi" w:hAnsiTheme="minorHAnsi"/>
                <w:szCs w:val="18"/>
              </w:rPr>
              <w:t>lpcd</w:t>
            </w:r>
            <w:proofErr w:type="spellEnd"/>
          </w:p>
          <w:p w14:paraId="786430B2" w14:textId="77777777" w:rsidR="00D233D9" w:rsidRPr="003578BB" w:rsidRDefault="00D233D9" w:rsidP="00D233D9">
            <w:pPr>
              <w:spacing w:before="0" w:after="0"/>
              <w:ind w:left="185" w:right="90"/>
              <w:jc w:val="center"/>
              <w:rPr>
                <w:rFonts w:asciiTheme="minorHAnsi" w:hAnsiTheme="minorHAnsi"/>
                <w:b/>
                <w:szCs w:val="18"/>
              </w:rPr>
            </w:pPr>
            <w:proofErr w:type="spellStart"/>
            <w:r w:rsidRPr="003578BB">
              <w:rPr>
                <w:rFonts w:asciiTheme="minorHAnsi" w:hAnsiTheme="minorHAnsi"/>
                <w:b/>
                <w:szCs w:val="18"/>
              </w:rPr>
              <w:t>Peri</w:t>
            </w:r>
            <w:proofErr w:type="spellEnd"/>
            <w:r w:rsidRPr="003578BB">
              <w:rPr>
                <w:rFonts w:asciiTheme="minorHAnsi" w:hAnsiTheme="minorHAnsi"/>
                <w:b/>
                <w:szCs w:val="18"/>
              </w:rPr>
              <w:t>-Urban</w:t>
            </w:r>
          </w:p>
          <w:p w14:paraId="36AD068A"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80 &gt; X ≥ 40 </w:t>
            </w:r>
            <w:proofErr w:type="spellStart"/>
            <w:r w:rsidRPr="003578BB">
              <w:rPr>
                <w:rFonts w:asciiTheme="minorHAnsi" w:hAnsiTheme="minorHAnsi"/>
                <w:szCs w:val="18"/>
              </w:rPr>
              <w:t>lpcd</w:t>
            </w:r>
            <w:proofErr w:type="spellEnd"/>
          </w:p>
        </w:tc>
        <w:tc>
          <w:tcPr>
            <w:tcW w:w="1710" w:type="dxa"/>
            <w:vMerge/>
            <w:shd w:val="clear" w:color="auto" w:fill="FFFFFF" w:themeFill="background1"/>
            <w:vAlign w:val="center"/>
          </w:tcPr>
          <w:p w14:paraId="26E0A8F0" w14:textId="77777777" w:rsidR="00D233D9" w:rsidRPr="003578BB" w:rsidRDefault="00D233D9" w:rsidP="00D233D9">
            <w:pPr>
              <w:spacing w:before="0" w:after="0"/>
              <w:ind w:left="185" w:right="90"/>
              <w:jc w:val="center"/>
              <w:rPr>
                <w:rFonts w:asciiTheme="minorHAnsi" w:hAnsiTheme="minorHAnsi"/>
                <w:szCs w:val="18"/>
              </w:rPr>
            </w:pPr>
          </w:p>
        </w:tc>
        <w:tc>
          <w:tcPr>
            <w:tcW w:w="1710" w:type="dxa"/>
            <w:vMerge/>
            <w:shd w:val="clear" w:color="auto" w:fill="FFFFFF" w:themeFill="background1"/>
            <w:vAlign w:val="center"/>
          </w:tcPr>
          <w:p w14:paraId="13BDB9A2" w14:textId="77777777" w:rsidR="00D233D9" w:rsidRPr="003578BB" w:rsidRDefault="00D233D9" w:rsidP="00D233D9">
            <w:pPr>
              <w:spacing w:before="0" w:after="0"/>
              <w:ind w:left="185" w:right="90"/>
              <w:jc w:val="center"/>
              <w:rPr>
                <w:rFonts w:asciiTheme="minorHAnsi" w:hAnsiTheme="minorHAnsi"/>
                <w:szCs w:val="18"/>
              </w:rPr>
            </w:pPr>
          </w:p>
        </w:tc>
        <w:tc>
          <w:tcPr>
            <w:tcW w:w="1590" w:type="dxa"/>
            <w:vMerge/>
            <w:tcBorders>
              <w:right w:val="single" w:sz="18" w:space="0" w:color="000000"/>
            </w:tcBorders>
            <w:shd w:val="clear" w:color="auto" w:fill="FFFFFF" w:themeFill="background1"/>
            <w:vAlign w:val="center"/>
          </w:tcPr>
          <w:p w14:paraId="70874966" w14:textId="77777777" w:rsidR="00D233D9" w:rsidRPr="003578BB" w:rsidRDefault="00D233D9" w:rsidP="00D233D9">
            <w:pPr>
              <w:spacing w:before="0" w:after="0"/>
              <w:ind w:left="185" w:right="90"/>
              <w:jc w:val="center"/>
              <w:rPr>
                <w:rFonts w:asciiTheme="minorHAnsi" w:hAnsiTheme="minorHAnsi"/>
                <w:szCs w:val="18"/>
              </w:rPr>
            </w:pPr>
          </w:p>
        </w:tc>
      </w:tr>
      <w:tr w:rsidR="00D233D9" w:rsidRPr="003578BB" w14:paraId="6472A641" w14:textId="77777777" w:rsidTr="00B7292B">
        <w:trPr>
          <w:trHeight w:val="547"/>
          <w:jc w:val="center"/>
        </w:trPr>
        <w:tc>
          <w:tcPr>
            <w:tcW w:w="1841" w:type="dxa"/>
            <w:shd w:val="clear" w:color="auto" w:fill="D1D2D4"/>
            <w:vAlign w:val="center"/>
          </w:tcPr>
          <w:p w14:paraId="594DABC7"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Sub-standard</w:t>
            </w:r>
          </w:p>
        </w:tc>
        <w:tc>
          <w:tcPr>
            <w:tcW w:w="1980" w:type="dxa"/>
            <w:shd w:val="clear" w:color="auto" w:fill="FFFFFF" w:themeFill="background1"/>
            <w:vAlign w:val="center"/>
          </w:tcPr>
          <w:p w14:paraId="13C3CECE"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Rural</w:t>
            </w:r>
          </w:p>
          <w:p w14:paraId="59E182AF" w14:textId="46414325"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20&gt; X ≥ 5 </w:t>
            </w:r>
            <w:proofErr w:type="spellStart"/>
            <w:r w:rsidRPr="003578BB">
              <w:rPr>
                <w:rFonts w:asciiTheme="minorHAnsi" w:hAnsiTheme="minorHAnsi"/>
                <w:szCs w:val="18"/>
              </w:rPr>
              <w:t>lpcd</w:t>
            </w:r>
            <w:proofErr w:type="spellEnd"/>
          </w:p>
          <w:p w14:paraId="56541D33" w14:textId="77777777" w:rsidR="00D233D9" w:rsidRPr="003578BB" w:rsidRDefault="00D233D9" w:rsidP="00D233D9">
            <w:pPr>
              <w:spacing w:before="0" w:after="0"/>
              <w:ind w:left="185" w:right="90"/>
              <w:jc w:val="center"/>
              <w:rPr>
                <w:rFonts w:asciiTheme="minorHAnsi" w:hAnsiTheme="minorHAnsi"/>
                <w:b/>
                <w:szCs w:val="18"/>
              </w:rPr>
            </w:pPr>
            <w:proofErr w:type="spellStart"/>
            <w:r w:rsidRPr="003578BB">
              <w:rPr>
                <w:rFonts w:asciiTheme="minorHAnsi" w:hAnsiTheme="minorHAnsi"/>
                <w:b/>
                <w:szCs w:val="18"/>
              </w:rPr>
              <w:t>Peri</w:t>
            </w:r>
            <w:proofErr w:type="spellEnd"/>
            <w:r w:rsidRPr="003578BB">
              <w:rPr>
                <w:rFonts w:asciiTheme="minorHAnsi" w:hAnsiTheme="minorHAnsi"/>
                <w:b/>
                <w:szCs w:val="18"/>
              </w:rPr>
              <w:t>-Urban</w:t>
            </w:r>
          </w:p>
          <w:p w14:paraId="73F10C89"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40 &gt; X ≥ 10 </w:t>
            </w:r>
            <w:proofErr w:type="spellStart"/>
            <w:r w:rsidRPr="003578BB">
              <w:rPr>
                <w:rFonts w:asciiTheme="minorHAnsi" w:hAnsiTheme="minorHAnsi"/>
                <w:szCs w:val="18"/>
              </w:rPr>
              <w:t>lpcd</w:t>
            </w:r>
            <w:proofErr w:type="spellEnd"/>
          </w:p>
        </w:tc>
        <w:tc>
          <w:tcPr>
            <w:tcW w:w="1710" w:type="dxa"/>
            <w:vMerge/>
            <w:shd w:val="clear" w:color="auto" w:fill="FFFFFF" w:themeFill="background1"/>
            <w:vAlign w:val="center"/>
          </w:tcPr>
          <w:p w14:paraId="017AC9E7" w14:textId="77777777" w:rsidR="00D233D9" w:rsidRPr="003578BB" w:rsidRDefault="00D233D9" w:rsidP="00D233D9">
            <w:pPr>
              <w:spacing w:before="0" w:after="0"/>
              <w:ind w:left="185" w:right="90"/>
              <w:jc w:val="center"/>
              <w:rPr>
                <w:rFonts w:asciiTheme="minorHAnsi" w:hAnsiTheme="minorHAnsi"/>
                <w:szCs w:val="18"/>
              </w:rPr>
            </w:pPr>
          </w:p>
        </w:tc>
        <w:tc>
          <w:tcPr>
            <w:tcW w:w="1710" w:type="dxa"/>
            <w:vMerge/>
            <w:shd w:val="clear" w:color="auto" w:fill="FFFFFF" w:themeFill="background1"/>
            <w:vAlign w:val="center"/>
          </w:tcPr>
          <w:p w14:paraId="5EA04635" w14:textId="77777777" w:rsidR="00D233D9" w:rsidRPr="003578BB" w:rsidRDefault="00D233D9" w:rsidP="00D233D9">
            <w:pPr>
              <w:spacing w:before="0" w:after="0"/>
              <w:ind w:left="185" w:right="90"/>
              <w:jc w:val="center"/>
              <w:rPr>
                <w:rFonts w:asciiTheme="minorHAnsi" w:hAnsiTheme="minorHAnsi"/>
                <w:szCs w:val="18"/>
              </w:rPr>
            </w:pPr>
          </w:p>
        </w:tc>
        <w:tc>
          <w:tcPr>
            <w:tcW w:w="1590" w:type="dxa"/>
            <w:tcBorders>
              <w:right w:val="single" w:sz="18" w:space="0" w:color="000000"/>
            </w:tcBorders>
            <w:shd w:val="clear" w:color="auto" w:fill="FFFFFF" w:themeFill="background1"/>
            <w:vAlign w:val="center"/>
          </w:tcPr>
          <w:p w14:paraId="45B24E4C"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POP</w:t>
            </w:r>
            <w:r w:rsidRPr="003578BB">
              <w:rPr>
                <w:rFonts w:asciiTheme="minorHAnsi" w:hAnsiTheme="minorHAnsi"/>
                <w:szCs w:val="18"/>
                <w:vertAlign w:val="subscript"/>
              </w:rPr>
              <w:t>OBSERVED</w:t>
            </w:r>
            <w:r w:rsidRPr="003578BB">
              <w:rPr>
                <w:rFonts w:asciiTheme="minorHAnsi" w:hAnsiTheme="minorHAnsi"/>
                <w:szCs w:val="18"/>
              </w:rPr>
              <w:t xml:space="preserve"> &gt; POP</w:t>
            </w:r>
            <w:r w:rsidRPr="003578BB">
              <w:rPr>
                <w:rFonts w:asciiTheme="minorHAnsi" w:hAnsiTheme="minorHAnsi"/>
                <w:szCs w:val="18"/>
                <w:vertAlign w:val="subscript"/>
              </w:rPr>
              <w:t>DESIGN</w:t>
            </w:r>
          </w:p>
        </w:tc>
      </w:tr>
      <w:tr w:rsidR="00D233D9" w:rsidRPr="003578BB" w14:paraId="749116A7" w14:textId="77777777" w:rsidTr="00B7292B">
        <w:trPr>
          <w:trHeight w:val="70"/>
          <w:jc w:val="center"/>
        </w:trPr>
        <w:tc>
          <w:tcPr>
            <w:tcW w:w="1841" w:type="dxa"/>
            <w:shd w:val="clear" w:color="auto" w:fill="D1D2D4"/>
            <w:vAlign w:val="center"/>
          </w:tcPr>
          <w:p w14:paraId="1D60F3FE"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No Service</w:t>
            </w:r>
          </w:p>
        </w:tc>
        <w:tc>
          <w:tcPr>
            <w:tcW w:w="1980" w:type="dxa"/>
            <w:shd w:val="clear" w:color="auto" w:fill="FFFFFF" w:themeFill="background1"/>
            <w:vAlign w:val="center"/>
          </w:tcPr>
          <w:p w14:paraId="2B7D0BBA"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Rural</w:t>
            </w:r>
          </w:p>
          <w:p w14:paraId="773797BD" w14:textId="50B9C053"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 xml:space="preserve">5 &gt; X  </w:t>
            </w:r>
            <w:proofErr w:type="spellStart"/>
            <w:r w:rsidRPr="003578BB">
              <w:rPr>
                <w:rFonts w:asciiTheme="minorHAnsi" w:hAnsiTheme="minorHAnsi"/>
                <w:szCs w:val="18"/>
              </w:rPr>
              <w:t>lpcd</w:t>
            </w:r>
            <w:proofErr w:type="spellEnd"/>
          </w:p>
          <w:p w14:paraId="672483FC" w14:textId="77777777" w:rsidR="00D233D9" w:rsidRPr="003578BB" w:rsidRDefault="00D233D9" w:rsidP="00D233D9">
            <w:pPr>
              <w:spacing w:before="0" w:after="0"/>
              <w:ind w:left="185" w:right="90"/>
              <w:jc w:val="center"/>
              <w:rPr>
                <w:rFonts w:asciiTheme="minorHAnsi" w:hAnsiTheme="minorHAnsi"/>
                <w:b/>
                <w:szCs w:val="18"/>
              </w:rPr>
            </w:pPr>
            <w:proofErr w:type="spellStart"/>
            <w:r w:rsidRPr="003578BB">
              <w:rPr>
                <w:rFonts w:asciiTheme="minorHAnsi" w:hAnsiTheme="minorHAnsi"/>
                <w:b/>
                <w:szCs w:val="18"/>
              </w:rPr>
              <w:t>Peri</w:t>
            </w:r>
            <w:proofErr w:type="spellEnd"/>
            <w:r w:rsidRPr="003578BB">
              <w:rPr>
                <w:rFonts w:asciiTheme="minorHAnsi" w:hAnsiTheme="minorHAnsi"/>
                <w:b/>
                <w:szCs w:val="18"/>
              </w:rPr>
              <w:t>-Urban</w:t>
            </w:r>
          </w:p>
          <w:p w14:paraId="7EE8453E"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szCs w:val="18"/>
              </w:rPr>
              <w:t xml:space="preserve">10 &gt; X </w:t>
            </w:r>
            <w:proofErr w:type="spellStart"/>
            <w:r w:rsidRPr="003578BB">
              <w:rPr>
                <w:rFonts w:asciiTheme="minorHAnsi" w:hAnsiTheme="minorHAnsi"/>
                <w:szCs w:val="18"/>
              </w:rPr>
              <w:t>lpcd</w:t>
            </w:r>
            <w:proofErr w:type="spellEnd"/>
          </w:p>
        </w:tc>
        <w:tc>
          <w:tcPr>
            <w:tcW w:w="1710" w:type="dxa"/>
            <w:shd w:val="clear" w:color="auto" w:fill="FFFFFF" w:themeFill="background1"/>
            <w:vAlign w:val="center"/>
          </w:tcPr>
          <w:p w14:paraId="2FB54E8A"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Formal Sources</w:t>
            </w:r>
          </w:p>
          <w:p w14:paraId="5992D714"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No testing</w:t>
            </w:r>
          </w:p>
          <w:p w14:paraId="707E9C6F"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All informal sources</w:t>
            </w:r>
          </w:p>
        </w:tc>
        <w:tc>
          <w:tcPr>
            <w:tcW w:w="1710" w:type="dxa"/>
            <w:shd w:val="clear" w:color="auto" w:fill="FFFFFF" w:themeFill="background1"/>
            <w:vAlign w:val="center"/>
          </w:tcPr>
          <w:p w14:paraId="444446E2" w14:textId="77777777" w:rsidR="00D233D9" w:rsidRPr="003578BB" w:rsidRDefault="00D233D9" w:rsidP="00D233D9">
            <w:pPr>
              <w:spacing w:before="0" w:after="0"/>
              <w:ind w:left="185" w:right="90"/>
              <w:jc w:val="center"/>
              <w:rPr>
                <w:rFonts w:asciiTheme="minorHAnsi" w:hAnsiTheme="minorHAnsi"/>
                <w:b/>
                <w:szCs w:val="18"/>
              </w:rPr>
            </w:pPr>
            <w:proofErr w:type="spellStart"/>
            <w:r w:rsidRPr="003578BB">
              <w:rPr>
                <w:rFonts w:asciiTheme="minorHAnsi" w:hAnsiTheme="minorHAnsi"/>
                <w:b/>
                <w:szCs w:val="18"/>
              </w:rPr>
              <w:t>Handpump</w:t>
            </w:r>
            <w:proofErr w:type="spellEnd"/>
          </w:p>
          <w:p w14:paraId="0A602FFC" w14:textId="011420D9"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X &gt; 1000 meters</w:t>
            </w:r>
          </w:p>
          <w:p w14:paraId="33FFB172" w14:textId="77777777" w:rsidR="00D233D9" w:rsidRPr="003578BB" w:rsidRDefault="00D233D9" w:rsidP="00D233D9">
            <w:pPr>
              <w:spacing w:before="0" w:after="0"/>
              <w:ind w:left="185" w:right="90"/>
              <w:jc w:val="center"/>
              <w:rPr>
                <w:rFonts w:asciiTheme="minorHAnsi" w:hAnsiTheme="minorHAnsi"/>
                <w:b/>
                <w:szCs w:val="18"/>
              </w:rPr>
            </w:pPr>
            <w:r w:rsidRPr="003578BB">
              <w:rPr>
                <w:rFonts w:asciiTheme="minorHAnsi" w:hAnsiTheme="minorHAnsi"/>
                <w:b/>
                <w:szCs w:val="18"/>
              </w:rPr>
              <w:t>Standpipe</w:t>
            </w:r>
          </w:p>
          <w:p w14:paraId="73473C7A" w14:textId="7C3CDF7F"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szCs w:val="18"/>
              </w:rPr>
              <w:t>X &gt; 500 meters</w:t>
            </w:r>
          </w:p>
        </w:tc>
        <w:tc>
          <w:tcPr>
            <w:tcW w:w="1590" w:type="dxa"/>
            <w:tcBorders>
              <w:right w:val="single" w:sz="18" w:space="0" w:color="000000"/>
            </w:tcBorders>
            <w:shd w:val="clear" w:color="auto" w:fill="FFFFFF" w:themeFill="background1"/>
            <w:vAlign w:val="center"/>
          </w:tcPr>
          <w:p w14:paraId="0EE7FAE7" w14:textId="77777777" w:rsidR="00D233D9" w:rsidRPr="003578BB" w:rsidRDefault="00D233D9" w:rsidP="00D233D9">
            <w:pPr>
              <w:spacing w:before="0" w:after="0"/>
              <w:ind w:left="185" w:right="90"/>
              <w:jc w:val="center"/>
              <w:rPr>
                <w:rFonts w:asciiTheme="minorHAnsi" w:hAnsiTheme="minorHAnsi"/>
                <w:szCs w:val="18"/>
              </w:rPr>
            </w:pPr>
            <w:r w:rsidRPr="003578BB">
              <w:rPr>
                <w:rFonts w:asciiTheme="minorHAnsi" w:hAnsiTheme="minorHAnsi"/>
                <w:b/>
                <w:szCs w:val="18"/>
              </w:rPr>
              <w:t>All informal sources</w:t>
            </w:r>
          </w:p>
        </w:tc>
      </w:tr>
    </w:tbl>
    <w:p w14:paraId="6E3DFC8F" w14:textId="49AD1239" w:rsidR="00043A41" w:rsidRDefault="00B27AE9" w:rsidP="005B5148">
      <w:r>
        <w:t xml:space="preserve">Source: </w:t>
      </w:r>
      <w:r w:rsidR="00D233D9">
        <w:t xml:space="preserve">Pezon et al, </w:t>
      </w:r>
      <w:r w:rsidR="00B7292B">
        <w:t xml:space="preserve">2013 </w:t>
      </w:r>
      <w:r w:rsidR="00D233D9">
        <w:t>forthcoming</w:t>
      </w:r>
    </w:p>
    <w:p w14:paraId="1F9E134C" w14:textId="3A900194" w:rsidR="00FF594B" w:rsidRPr="00915D21" w:rsidRDefault="00DF6541" w:rsidP="005B5148">
      <w:r>
        <w:t>For several, if not all, of these indicators, minimum standards are generally set by government</w:t>
      </w:r>
      <w:r w:rsidR="00043A41">
        <w:t>s</w:t>
      </w:r>
      <w:r w:rsidR="005F481E">
        <w:t xml:space="preserve">. </w:t>
      </w:r>
      <w:r w:rsidR="009A5725">
        <w:t>N</w:t>
      </w:r>
      <w:r w:rsidR="00FF594B" w:rsidRPr="00915D21">
        <w:t>orms and standards</w:t>
      </w:r>
      <w:r w:rsidR="003C376E">
        <w:t xml:space="preserve"> </w:t>
      </w:r>
      <w:r w:rsidR="005B5148">
        <w:t xml:space="preserve">can </w:t>
      </w:r>
      <w:r w:rsidR="00997234" w:rsidRPr="00915D21">
        <w:t>differ from country to country</w:t>
      </w:r>
      <w:r w:rsidR="00FF594B" w:rsidRPr="00915D21">
        <w:t>.</w:t>
      </w:r>
      <w:r w:rsidR="00997234" w:rsidRPr="00915D21">
        <w:t xml:space="preserve"> In Ghana for example the </w:t>
      </w:r>
      <w:r w:rsidR="00D91763">
        <w:t>C</w:t>
      </w:r>
      <w:r w:rsidR="00997234" w:rsidRPr="00915D21">
        <w:t xml:space="preserve">ommunity Water and Sanitation Agency (CWSA) prescribed that the distance between water points </w:t>
      </w:r>
      <w:r w:rsidR="00D91763">
        <w:t xml:space="preserve">(hand </w:t>
      </w:r>
      <w:proofErr w:type="gramStart"/>
      <w:r w:rsidR="00D91763">
        <w:t>pumps  or</w:t>
      </w:r>
      <w:proofErr w:type="gramEnd"/>
      <w:r w:rsidR="00D91763">
        <w:t xml:space="preserve"> public standpipes) </w:t>
      </w:r>
      <w:r w:rsidR="00997234" w:rsidRPr="00915D21">
        <w:t xml:space="preserve">and users should not exceed 500 </w:t>
      </w:r>
      <w:r w:rsidR="00F13D47" w:rsidRPr="00915D21">
        <w:t>metres</w:t>
      </w:r>
      <w:r w:rsidR="00997234" w:rsidRPr="00915D21">
        <w:t xml:space="preserve">, while the </w:t>
      </w:r>
      <w:r w:rsidR="00F13D47" w:rsidRPr="00915D21">
        <w:t>Ministry</w:t>
      </w:r>
      <w:r w:rsidR="00997234" w:rsidRPr="00915D21">
        <w:t xml:space="preserve"> of Water and </w:t>
      </w:r>
      <w:r w:rsidR="00F6601A">
        <w:t>E</w:t>
      </w:r>
      <w:r w:rsidR="00997234" w:rsidRPr="00915D21">
        <w:t>nergy in Ethiopia prescribe</w:t>
      </w:r>
      <w:r w:rsidR="00D91763">
        <w:t xml:space="preserve">d a maximum distance of 1.5 km </w:t>
      </w:r>
      <w:r w:rsidR="00997234" w:rsidRPr="00915D21">
        <w:t>in rural areas</w:t>
      </w:r>
      <w:r w:rsidR="00D91763">
        <w:t xml:space="preserve"> and 500 metres in urban areas. </w:t>
      </w:r>
      <w:r w:rsidR="003C376E">
        <w:t>Uganda has set a standard of 1km</w:t>
      </w:r>
      <w:r w:rsidR="00215518" w:rsidRPr="00915D21">
        <w:t xml:space="preserve"> </w:t>
      </w:r>
      <w:r w:rsidR="00F6601A">
        <w:t>for rural and 200 metres for urban facilities</w:t>
      </w:r>
      <w:r w:rsidR="002B53F4">
        <w:t>, while maximum d</w:t>
      </w:r>
      <w:r w:rsidR="00215518" w:rsidRPr="00915D21">
        <w:t>istances vary according to the water facility in Burkina Faso</w:t>
      </w:r>
      <w:r w:rsidR="00D233D9">
        <w:t xml:space="preserve"> (</w:t>
      </w:r>
      <w:r w:rsidR="00B7292B">
        <w:t>as shown in the table above</w:t>
      </w:r>
      <w:r w:rsidR="00D233D9">
        <w:t>)</w:t>
      </w:r>
      <w:r w:rsidR="00442946">
        <w:t>.</w:t>
      </w:r>
    </w:p>
    <w:p w14:paraId="3BFAFE98" w14:textId="2E50C09A" w:rsidR="003B5EF3" w:rsidRDefault="00F13D47" w:rsidP="00F43998">
      <w:r w:rsidRPr="00915D21">
        <w:lastRenderedPageBreak/>
        <w:t xml:space="preserve">In order to assess the level of service provided </w:t>
      </w:r>
      <w:r w:rsidR="005B5148" w:rsidRPr="00915D21">
        <w:t xml:space="preserve">by certain schemes </w:t>
      </w:r>
      <w:r w:rsidR="005B5148">
        <w:t xml:space="preserve">or </w:t>
      </w:r>
      <w:r w:rsidRPr="00915D21">
        <w:t xml:space="preserve">in a certain area and to monitor changes over time, </w:t>
      </w:r>
      <w:r w:rsidR="00B27AE9">
        <w:t>a ‘</w:t>
      </w:r>
      <w:r w:rsidR="00FF594B" w:rsidRPr="00915D21">
        <w:t xml:space="preserve">water </w:t>
      </w:r>
      <w:r w:rsidR="00B27AE9">
        <w:t xml:space="preserve">service </w:t>
      </w:r>
      <w:r w:rsidR="00FF594B" w:rsidRPr="00915D21">
        <w:t>ladder</w:t>
      </w:r>
      <w:r w:rsidR="00B27AE9">
        <w:t>’</w:t>
      </w:r>
      <w:r w:rsidR="00FF594B" w:rsidRPr="00915D21">
        <w:t xml:space="preserve"> </w:t>
      </w:r>
      <w:r w:rsidR="003466A4">
        <w:t>can be used</w:t>
      </w:r>
      <w:r w:rsidR="00B35E0A" w:rsidRPr="00915D21">
        <w:t xml:space="preserve">. </w:t>
      </w:r>
      <w:r w:rsidR="00F43998">
        <w:t xml:space="preserve">As mentioned by Moriarty et al (2011), the concept of a ‘service ladder’ </w:t>
      </w:r>
      <w:r w:rsidR="003F2A21">
        <w:t xml:space="preserve">has been used in the sanitation sub-sector for some time now, and has since 2008 been used by </w:t>
      </w:r>
      <w:r w:rsidR="00F43998">
        <w:t xml:space="preserve">JMP to </w:t>
      </w:r>
      <w:r w:rsidR="003F2A21">
        <w:t>described the level of water services people have access to, differentiating between unimproved, improved and piped water services</w:t>
      </w:r>
      <w:r w:rsidR="00F43998">
        <w:t>.</w:t>
      </w:r>
      <w:r w:rsidR="003F2A21">
        <w:t xml:space="preserve"> </w:t>
      </w:r>
    </w:p>
    <w:p w14:paraId="0E571DDC" w14:textId="1F5018D9" w:rsidR="00FF594B" w:rsidRPr="00915D21" w:rsidRDefault="003B5EF3" w:rsidP="00490AE5">
      <w:r>
        <w:t xml:space="preserve">Under a number of initiatives </w:t>
      </w:r>
      <w:r w:rsidR="00D91763">
        <w:t>in which IRC has been involved</w:t>
      </w:r>
      <w:r>
        <w:t xml:space="preserve">, (country specific) water ladders have been developed, combining a number of  indicators related to the level of water services, such as water quality, quality, accessibility and reliability. </w:t>
      </w:r>
      <w:r w:rsidRPr="00915D21">
        <w:t xml:space="preserve">The level of service can be determined by assessing whether or not </w:t>
      </w:r>
      <w:r w:rsidR="00043A41">
        <w:t xml:space="preserve">the </w:t>
      </w:r>
      <w:r w:rsidR="00D91763">
        <w:t xml:space="preserve">national </w:t>
      </w:r>
      <w:r w:rsidR="00043A41">
        <w:t>standards which have been set</w:t>
      </w:r>
      <w:r w:rsidR="00D91763">
        <w:t xml:space="preserve"> for each of the indictors</w:t>
      </w:r>
      <w:r w:rsidR="00043A41">
        <w:t xml:space="preserve">, are </w:t>
      </w:r>
      <w:r>
        <w:t xml:space="preserve">met. The level of service can thus be considered a composite indicator, generally combining indicators related to reliability, accessibility, quantity and quality. </w:t>
      </w:r>
      <w:r w:rsidR="00043A41">
        <w:t>When the standards on all service level indicators are met</w:t>
      </w:r>
      <w:r w:rsidR="00A75401" w:rsidRPr="00915D21">
        <w:t xml:space="preserve">, the service </w:t>
      </w:r>
      <w:r w:rsidR="00D91763">
        <w:t>can be</w:t>
      </w:r>
      <w:r w:rsidR="00A75401" w:rsidRPr="00915D21">
        <w:t xml:space="preserve"> characterized as ‘basic service’</w:t>
      </w:r>
      <w:r w:rsidR="00F13D47" w:rsidRPr="00915D21">
        <w:t>, half way up the water ladder</w:t>
      </w:r>
      <w:r w:rsidR="00A75401" w:rsidRPr="00915D21">
        <w:t xml:space="preserve">. When the </w:t>
      </w:r>
      <w:r w:rsidR="00B27AE9">
        <w:t>standards</w:t>
      </w:r>
      <w:r w:rsidR="00043A41">
        <w:t xml:space="preserve"> are </w:t>
      </w:r>
      <w:r w:rsidR="00A75401" w:rsidRPr="00915D21">
        <w:t xml:space="preserve">not met on one of the indicators, the service level </w:t>
      </w:r>
      <w:r w:rsidR="00D91763">
        <w:t>can be</w:t>
      </w:r>
      <w:r w:rsidR="00A75401" w:rsidRPr="00915D21">
        <w:t xml:space="preserve"> characterized as “sub-standard”.</w:t>
      </w:r>
      <w:r w:rsidR="00FF594B" w:rsidRPr="00915D21">
        <w:t xml:space="preserve"> </w:t>
      </w:r>
    </w:p>
    <w:p w14:paraId="3F212CD5" w14:textId="7104ACD4" w:rsidR="00EF534E" w:rsidRPr="00915D21" w:rsidRDefault="00EF534E" w:rsidP="00EF534E">
      <w:pPr>
        <w:pStyle w:val="Caption"/>
      </w:pPr>
      <w:r w:rsidRPr="00915D21">
        <w:t xml:space="preserve">Figure </w:t>
      </w:r>
      <w:r w:rsidR="005B3977">
        <w:fldChar w:fldCharType="begin"/>
      </w:r>
      <w:r w:rsidR="005B3977">
        <w:instrText xml:space="preserve"> SEQ Figure \* ARABIC </w:instrText>
      </w:r>
      <w:r w:rsidR="005B3977">
        <w:fldChar w:fldCharType="separate"/>
      </w:r>
      <w:r w:rsidR="009545D4">
        <w:rPr>
          <w:noProof/>
        </w:rPr>
        <w:t>1</w:t>
      </w:r>
      <w:r w:rsidR="005B3977">
        <w:rPr>
          <w:noProof/>
        </w:rPr>
        <w:fldChar w:fldCharType="end"/>
      </w:r>
      <w:r w:rsidRPr="00915D21">
        <w:t xml:space="preserve">: </w:t>
      </w:r>
      <w:proofErr w:type="spellStart"/>
      <w:r w:rsidRPr="00915D21">
        <w:t>WASHCost</w:t>
      </w:r>
      <w:proofErr w:type="spellEnd"/>
      <w:r w:rsidRPr="00915D21">
        <w:t xml:space="preserve"> water service delivery ladder</w:t>
      </w:r>
    </w:p>
    <w:tbl>
      <w:tblPr>
        <w:tblStyle w:val="TableGrid1"/>
        <w:tblW w:w="8961" w:type="dxa"/>
        <w:tblLook w:val="04A0" w:firstRow="1" w:lastRow="0" w:firstColumn="1" w:lastColumn="0" w:noHBand="0" w:noVBand="1"/>
      </w:tblPr>
      <w:tblGrid>
        <w:gridCol w:w="1758"/>
        <w:gridCol w:w="7203"/>
      </w:tblGrid>
      <w:tr w:rsidR="00E03081" w:rsidRPr="003578BB" w14:paraId="51E6CD63" w14:textId="77777777" w:rsidTr="00E03081">
        <w:trPr>
          <w:cnfStyle w:val="100000000000" w:firstRow="1" w:lastRow="0" w:firstColumn="0" w:lastColumn="0" w:oddVBand="0" w:evenVBand="0" w:oddHBand="0" w:evenHBand="0" w:firstRowFirstColumn="0" w:firstRowLastColumn="0" w:lastRowFirstColumn="0" w:lastRowLastColumn="0"/>
          <w:trHeight w:val="60"/>
        </w:trPr>
        <w:tc>
          <w:tcPr>
            <w:tcW w:w="1758" w:type="dxa"/>
          </w:tcPr>
          <w:p w14:paraId="75D763DE" w14:textId="77777777" w:rsidR="00E03081" w:rsidRPr="003578BB" w:rsidRDefault="00E03081" w:rsidP="008D702E">
            <w:pPr>
              <w:spacing w:after="0"/>
              <w:rPr>
                <w:rFonts w:asciiTheme="minorHAnsi" w:hAnsiTheme="minorHAnsi" w:cstheme="minorHAnsi"/>
                <w:b w:val="0"/>
                <w:bCs/>
                <w:color w:val="FFFFFF" w:themeColor="background1"/>
                <w:szCs w:val="18"/>
              </w:rPr>
            </w:pPr>
            <w:r w:rsidRPr="003578BB">
              <w:rPr>
                <w:rFonts w:asciiTheme="minorHAnsi" w:hAnsiTheme="minorHAnsi" w:cstheme="minorHAnsi"/>
                <w:b w:val="0"/>
                <w:bCs/>
                <w:color w:val="FFFFFF" w:themeColor="background1"/>
                <w:szCs w:val="18"/>
              </w:rPr>
              <w:t>Service level</w:t>
            </w:r>
          </w:p>
        </w:tc>
        <w:tc>
          <w:tcPr>
            <w:tcW w:w="7203" w:type="dxa"/>
            <w:hideMark/>
          </w:tcPr>
          <w:p w14:paraId="3D932B09" w14:textId="77777777" w:rsidR="00E03081" w:rsidRPr="003578BB" w:rsidRDefault="00E03081" w:rsidP="008D702E">
            <w:pPr>
              <w:spacing w:after="0"/>
              <w:rPr>
                <w:rFonts w:asciiTheme="minorHAnsi" w:hAnsiTheme="minorHAnsi" w:cstheme="minorHAnsi"/>
                <w:b w:val="0"/>
                <w:color w:val="FFFFFF" w:themeColor="background1"/>
                <w:szCs w:val="18"/>
              </w:rPr>
            </w:pPr>
            <w:r w:rsidRPr="003578BB">
              <w:rPr>
                <w:rFonts w:asciiTheme="minorHAnsi" w:hAnsiTheme="minorHAnsi" w:cstheme="minorHAnsi"/>
                <w:b w:val="0"/>
                <w:color w:val="FFFFFF" w:themeColor="background1"/>
                <w:szCs w:val="18"/>
              </w:rPr>
              <w:t>Description of service level</w:t>
            </w:r>
          </w:p>
        </w:tc>
      </w:tr>
      <w:tr w:rsidR="00E03081" w:rsidRPr="003578BB" w14:paraId="2C3A1B50" w14:textId="77777777" w:rsidTr="00E03081">
        <w:trPr>
          <w:trHeight w:val="307"/>
        </w:trPr>
        <w:tc>
          <w:tcPr>
            <w:tcW w:w="1758" w:type="dxa"/>
          </w:tcPr>
          <w:p w14:paraId="1E6235FE" w14:textId="77777777" w:rsidR="00E03081" w:rsidRPr="003578BB" w:rsidRDefault="00E03081" w:rsidP="008D702E">
            <w:pPr>
              <w:spacing w:after="0"/>
              <w:jc w:val="left"/>
              <w:rPr>
                <w:rFonts w:asciiTheme="minorHAnsi" w:hAnsiTheme="minorHAnsi" w:cstheme="minorHAnsi"/>
                <w:b/>
                <w:bCs/>
                <w:color w:val="000000"/>
                <w:szCs w:val="18"/>
              </w:rPr>
            </w:pPr>
            <w:r w:rsidRPr="003578BB">
              <w:rPr>
                <w:rFonts w:asciiTheme="minorHAnsi" w:hAnsiTheme="minorHAnsi" w:cstheme="minorHAnsi"/>
                <w:b/>
                <w:bCs/>
                <w:color w:val="000000"/>
                <w:szCs w:val="18"/>
              </w:rPr>
              <w:t>High level service</w:t>
            </w:r>
            <w:r w:rsidRPr="003578BB">
              <w:rPr>
                <w:rFonts w:asciiTheme="minorHAnsi" w:hAnsiTheme="minorHAnsi" w:cstheme="minorHAnsi"/>
                <w:color w:val="000000"/>
                <w:szCs w:val="18"/>
              </w:rPr>
              <w:t xml:space="preserve"> </w:t>
            </w:r>
          </w:p>
        </w:tc>
        <w:tc>
          <w:tcPr>
            <w:tcW w:w="7203" w:type="dxa"/>
            <w:hideMark/>
          </w:tcPr>
          <w:p w14:paraId="7121795F" w14:textId="3C15A9FD" w:rsidR="00E03081" w:rsidRPr="003578BB" w:rsidRDefault="00E03081" w:rsidP="008D702E">
            <w:pPr>
              <w:spacing w:after="0"/>
              <w:rPr>
                <w:rFonts w:asciiTheme="minorHAnsi" w:hAnsiTheme="minorHAnsi" w:cstheme="minorHAnsi"/>
                <w:b/>
                <w:bCs/>
                <w:color w:val="000000"/>
                <w:szCs w:val="18"/>
              </w:rPr>
            </w:pPr>
            <w:r w:rsidRPr="003578BB">
              <w:rPr>
                <w:rFonts w:asciiTheme="minorHAnsi" w:hAnsiTheme="minorHAnsi" w:cstheme="minorHAnsi"/>
                <w:color w:val="000000"/>
                <w:szCs w:val="18"/>
              </w:rPr>
              <w:t xml:space="preserve">People access a minimum of 60 </w:t>
            </w:r>
            <w:proofErr w:type="spellStart"/>
            <w:r w:rsidRPr="003578BB">
              <w:rPr>
                <w:rFonts w:asciiTheme="minorHAnsi" w:hAnsiTheme="minorHAnsi" w:cstheme="minorHAnsi"/>
                <w:color w:val="000000"/>
                <w:szCs w:val="18"/>
              </w:rPr>
              <w:t>lpcd</w:t>
            </w:r>
            <w:proofErr w:type="spellEnd"/>
            <w:r w:rsidRPr="003578BB">
              <w:rPr>
                <w:rFonts w:asciiTheme="minorHAnsi" w:hAnsiTheme="minorHAnsi" w:cstheme="minorHAnsi"/>
                <w:color w:val="000000"/>
                <w:szCs w:val="18"/>
              </w:rPr>
              <w:t xml:space="preserve"> of high quality water on demand</w:t>
            </w:r>
          </w:p>
        </w:tc>
      </w:tr>
      <w:tr w:rsidR="00E03081" w:rsidRPr="003578BB" w14:paraId="225BFAC6" w14:textId="77777777" w:rsidTr="00E03081">
        <w:trPr>
          <w:trHeight w:val="265"/>
        </w:trPr>
        <w:tc>
          <w:tcPr>
            <w:tcW w:w="1758" w:type="dxa"/>
          </w:tcPr>
          <w:p w14:paraId="4C3691D2" w14:textId="77777777" w:rsidR="00E03081" w:rsidRPr="003578BB" w:rsidRDefault="00E03081" w:rsidP="008D702E">
            <w:pPr>
              <w:spacing w:after="0"/>
              <w:jc w:val="left"/>
              <w:rPr>
                <w:rFonts w:asciiTheme="minorHAnsi" w:hAnsiTheme="minorHAnsi" w:cstheme="minorHAnsi"/>
                <w:b/>
                <w:bCs/>
                <w:color w:val="000000"/>
                <w:szCs w:val="18"/>
              </w:rPr>
            </w:pPr>
            <w:r w:rsidRPr="003578BB">
              <w:rPr>
                <w:rFonts w:asciiTheme="minorHAnsi" w:hAnsiTheme="minorHAnsi" w:cstheme="minorHAnsi"/>
                <w:b/>
                <w:bCs/>
                <w:color w:val="000000"/>
                <w:szCs w:val="18"/>
              </w:rPr>
              <w:t>Intermediate level service</w:t>
            </w:r>
          </w:p>
        </w:tc>
        <w:tc>
          <w:tcPr>
            <w:tcW w:w="7203" w:type="dxa"/>
            <w:hideMark/>
          </w:tcPr>
          <w:p w14:paraId="5DDA7F8C" w14:textId="215657E0" w:rsidR="00E03081" w:rsidRPr="003578BB" w:rsidRDefault="00E03081" w:rsidP="00E03081">
            <w:pPr>
              <w:rPr>
                <w:rFonts w:asciiTheme="minorHAnsi" w:hAnsiTheme="minorHAnsi" w:cstheme="minorHAnsi"/>
                <w:b/>
                <w:bCs/>
                <w:color w:val="000000"/>
                <w:szCs w:val="18"/>
              </w:rPr>
            </w:pPr>
            <w:r w:rsidRPr="003578BB">
              <w:rPr>
                <w:rFonts w:asciiTheme="minorHAnsi" w:hAnsiTheme="minorHAnsi" w:cstheme="minorHAnsi"/>
                <w:color w:val="000000"/>
                <w:szCs w:val="18"/>
              </w:rPr>
              <w:t xml:space="preserve">People access a minimum of 40 </w:t>
            </w:r>
            <w:proofErr w:type="spellStart"/>
            <w:r w:rsidRPr="003578BB">
              <w:rPr>
                <w:rFonts w:asciiTheme="minorHAnsi" w:hAnsiTheme="minorHAnsi" w:cstheme="minorHAnsi"/>
                <w:color w:val="000000"/>
                <w:szCs w:val="18"/>
              </w:rPr>
              <w:t>lpcd</w:t>
            </w:r>
            <w:proofErr w:type="spellEnd"/>
            <w:r w:rsidRPr="003578BB">
              <w:rPr>
                <w:rFonts w:asciiTheme="minorHAnsi" w:hAnsiTheme="minorHAnsi" w:cstheme="minorHAnsi"/>
                <w:color w:val="000000"/>
                <w:szCs w:val="18"/>
              </w:rPr>
              <w:t xml:space="preserve"> of acceptable quality water from an improved source spending not more than 30 minutes per day</w:t>
            </w:r>
          </w:p>
        </w:tc>
      </w:tr>
      <w:tr w:rsidR="00E03081" w:rsidRPr="003578BB" w14:paraId="55B50AF6" w14:textId="77777777" w:rsidTr="00E03081">
        <w:trPr>
          <w:trHeight w:val="368"/>
        </w:trPr>
        <w:tc>
          <w:tcPr>
            <w:tcW w:w="1758" w:type="dxa"/>
          </w:tcPr>
          <w:p w14:paraId="3DB03A66" w14:textId="664C515C" w:rsidR="00E03081" w:rsidRPr="003578BB" w:rsidRDefault="00E03081" w:rsidP="00E03081">
            <w:pPr>
              <w:spacing w:after="0"/>
              <w:jc w:val="left"/>
              <w:rPr>
                <w:rFonts w:asciiTheme="minorHAnsi" w:hAnsiTheme="minorHAnsi" w:cstheme="minorHAnsi"/>
                <w:b/>
                <w:bCs/>
                <w:color w:val="000000"/>
                <w:szCs w:val="18"/>
              </w:rPr>
            </w:pPr>
            <w:r w:rsidRPr="003578BB">
              <w:rPr>
                <w:rFonts w:asciiTheme="minorHAnsi" w:hAnsiTheme="minorHAnsi" w:cstheme="minorHAnsi"/>
                <w:b/>
                <w:bCs/>
                <w:color w:val="000000"/>
                <w:szCs w:val="18"/>
              </w:rPr>
              <w:t xml:space="preserve">Basic level service </w:t>
            </w:r>
          </w:p>
        </w:tc>
        <w:tc>
          <w:tcPr>
            <w:tcW w:w="7203" w:type="dxa"/>
            <w:hideMark/>
          </w:tcPr>
          <w:p w14:paraId="6F3EC268" w14:textId="55ECD97F" w:rsidR="00E03081" w:rsidRPr="003578BB" w:rsidRDefault="00E03081" w:rsidP="00E03081">
            <w:pPr>
              <w:rPr>
                <w:rFonts w:asciiTheme="minorHAnsi" w:hAnsiTheme="minorHAnsi" w:cstheme="minorHAnsi"/>
                <w:b/>
                <w:bCs/>
                <w:color w:val="000000"/>
                <w:szCs w:val="18"/>
              </w:rPr>
            </w:pPr>
            <w:r w:rsidRPr="003578BB">
              <w:rPr>
                <w:rFonts w:asciiTheme="minorHAnsi" w:hAnsiTheme="minorHAnsi" w:cstheme="minorHAnsi"/>
                <w:color w:val="000000"/>
                <w:szCs w:val="18"/>
              </w:rPr>
              <w:t xml:space="preserve">People access a minimum of 20 </w:t>
            </w:r>
            <w:proofErr w:type="spellStart"/>
            <w:r w:rsidRPr="003578BB">
              <w:rPr>
                <w:rFonts w:asciiTheme="minorHAnsi" w:hAnsiTheme="minorHAnsi" w:cstheme="minorHAnsi"/>
                <w:color w:val="000000"/>
                <w:szCs w:val="18"/>
              </w:rPr>
              <w:t>lpcd</w:t>
            </w:r>
            <w:proofErr w:type="spellEnd"/>
            <w:r w:rsidRPr="003578BB">
              <w:rPr>
                <w:rFonts w:asciiTheme="minorHAnsi" w:hAnsiTheme="minorHAnsi" w:cstheme="minorHAnsi"/>
                <w:color w:val="000000"/>
                <w:szCs w:val="18"/>
              </w:rPr>
              <w:t xml:space="preserve"> of acceptable quality water from an improved source spending not more than 30 minutes per day</w:t>
            </w:r>
          </w:p>
        </w:tc>
      </w:tr>
      <w:tr w:rsidR="00E03081" w:rsidRPr="003578BB" w14:paraId="53FC61B5" w14:textId="77777777" w:rsidTr="00E03081">
        <w:trPr>
          <w:trHeight w:val="271"/>
        </w:trPr>
        <w:tc>
          <w:tcPr>
            <w:tcW w:w="1758" w:type="dxa"/>
          </w:tcPr>
          <w:p w14:paraId="1D7270E3" w14:textId="77777777" w:rsidR="00E03081" w:rsidRPr="003578BB" w:rsidRDefault="00E03081" w:rsidP="008D702E">
            <w:pPr>
              <w:spacing w:after="0"/>
              <w:jc w:val="left"/>
              <w:rPr>
                <w:rFonts w:asciiTheme="minorHAnsi" w:hAnsiTheme="minorHAnsi" w:cstheme="minorHAnsi"/>
                <w:b/>
                <w:bCs/>
                <w:color w:val="000000"/>
                <w:szCs w:val="18"/>
              </w:rPr>
            </w:pPr>
            <w:r w:rsidRPr="003578BB">
              <w:rPr>
                <w:rFonts w:asciiTheme="minorHAnsi" w:hAnsiTheme="minorHAnsi" w:cstheme="minorHAnsi"/>
                <w:b/>
                <w:bCs/>
                <w:color w:val="000000"/>
                <w:szCs w:val="18"/>
              </w:rPr>
              <w:t>Sub-standard level service</w:t>
            </w:r>
          </w:p>
        </w:tc>
        <w:tc>
          <w:tcPr>
            <w:tcW w:w="7203" w:type="dxa"/>
            <w:hideMark/>
          </w:tcPr>
          <w:p w14:paraId="16EE6DF1" w14:textId="0BB079FD" w:rsidR="00E03081" w:rsidRPr="003578BB" w:rsidRDefault="00E03081" w:rsidP="008D702E">
            <w:pPr>
              <w:spacing w:after="0"/>
              <w:rPr>
                <w:rFonts w:asciiTheme="minorHAnsi" w:hAnsiTheme="minorHAnsi" w:cstheme="minorHAnsi"/>
                <w:b/>
                <w:bCs/>
                <w:color w:val="000000"/>
                <w:szCs w:val="18"/>
              </w:rPr>
            </w:pPr>
            <w:r w:rsidRPr="003578BB">
              <w:rPr>
                <w:rFonts w:asciiTheme="minorHAnsi" w:hAnsiTheme="minorHAnsi" w:cstheme="minorHAnsi"/>
                <w:color w:val="000000"/>
                <w:szCs w:val="18"/>
              </w:rPr>
              <w:t xml:space="preserve">People access a service that is an improvement on having no service at all, but that fails to meet the basic standard on one or more criteria </w:t>
            </w:r>
          </w:p>
        </w:tc>
      </w:tr>
      <w:tr w:rsidR="00E03081" w:rsidRPr="003578BB" w14:paraId="4CB24D74" w14:textId="77777777" w:rsidTr="00E03081">
        <w:trPr>
          <w:trHeight w:val="181"/>
        </w:trPr>
        <w:tc>
          <w:tcPr>
            <w:tcW w:w="1758" w:type="dxa"/>
          </w:tcPr>
          <w:p w14:paraId="143D4E93" w14:textId="77777777" w:rsidR="00E03081" w:rsidRPr="003578BB" w:rsidRDefault="00E03081" w:rsidP="008D702E">
            <w:pPr>
              <w:spacing w:after="0"/>
              <w:jc w:val="left"/>
              <w:rPr>
                <w:rFonts w:asciiTheme="minorHAnsi" w:hAnsiTheme="minorHAnsi" w:cstheme="minorHAnsi"/>
                <w:b/>
                <w:bCs/>
                <w:color w:val="000000"/>
                <w:szCs w:val="18"/>
              </w:rPr>
            </w:pPr>
            <w:r w:rsidRPr="003578BB">
              <w:rPr>
                <w:rFonts w:asciiTheme="minorHAnsi" w:hAnsiTheme="minorHAnsi" w:cstheme="minorHAnsi"/>
                <w:b/>
                <w:bCs/>
                <w:color w:val="000000"/>
                <w:szCs w:val="18"/>
              </w:rPr>
              <w:t>No service</w:t>
            </w:r>
          </w:p>
        </w:tc>
        <w:tc>
          <w:tcPr>
            <w:tcW w:w="7203" w:type="dxa"/>
            <w:hideMark/>
          </w:tcPr>
          <w:p w14:paraId="769EFF3A" w14:textId="4B5711A2" w:rsidR="00E03081" w:rsidRPr="003578BB" w:rsidRDefault="00E03081" w:rsidP="008D702E">
            <w:pPr>
              <w:spacing w:after="0"/>
              <w:rPr>
                <w:rFonts w:asciiTheme="minorHAnsi" w:hAnsiTheme="minorHAnsi" w:cstheme="minorHAnsi"/>
                <w:b/>
                <w:bCs/>
                <w:color w:val="000000"/>
                <w:szCs w:val="18"/>
              </w:rPr>
            </w:pPr>
            <w:r w:rsidRPr="003578BB">
              <w:rPr>
                <w:rFonts w:asciiTheme="minorHAnsi" w:hAnsiTheme="minorHAnsi" w:cstheme="minorHAnsi"/>
                <w:color w:val="000000"/>
                <w:szCs w:val="18"/>
              </w:rPr>
              <w:t>People access water from insecure or unimproved sources, or sources that are too distant, too time-consuming or are of poor quality</w:t>
            </w:r>
          </w:p>
        </w:tc>
      </w:tr>
    </w:tbl>
    <w:p w14:paraId="7EE83800" w14:textId="77777777" w:rsidR="00EF534E" w:rsidRPr="00915D21" w:rsidRDefault="00EF534E" w:rsidP="00490AE5">
      <w:r w:rsidRPr="00915D21">
        <w:t>Source: Moriarty et al, 2011</w:t>
      </w:r>
    </w:p>
    <w:p w14:paraId="5ED602BD" w14:textId="50EE7F65" w:rsidR="00F034BF" w:rsidRDefault="00F034BF" w:rsidP="00046332">
      <w:r w:rsidRPr="00915D21">
        <w:t xml:space="preserve">Alternatively, </w:t>
      </w:r>
      <w:r>
        <w:t xml:space="preserve">scores can be attributed to different values </w:t>
      </w:r>
      <w:r w:rsidR="00E03081">
        <w:t xml:space="preserve">for each of the </w:t>
      </w:r>
      <w:r>
        <w:t xml:space="preserve">different indicators, with the service level score as an aggregate of these, </w:t>
      </w:r>
      <w:r w:rsidRPr="00915D21">
        <w:t xml:space="preserve">as </w:t>
      </w:r>
      <w:r>
        <w:t>done in Columbia (Smits et al, 2012</w:t>
      </w:r>
      <w:r w:rsidRPr="00915D21">
        <w:t>).</w:t>
      </w:r>
      <w:r>
        <w:t xml:space="preserve"> </w:t>
      </w:r>
    </w:p>
    <w:p w14:paraId="2DB94D1D" w14:textId="29836E28" w:rsidR="00F13D47" w:rsidRPr="00915D21" w:rsidRDefault="00B83F1A" w:rsidP="00046332">
      <w:r>
        <w:t xml:space="preserve">There </w:t>
      </w:r>
      <w:r w:rsidR="00043A41">
        <w:t xml:space="preserve">can be </w:t>
      </w:r>
      <w:r>
        <w:t xml:space="preserve">a difference between the potential level of service provided and the effective level of service actually </w:t>
      </w:r>
      <w:r w:rsidR="0058350A">
        <w:t>used</w:t>
      </w:r>
      <w:r>
        <w:t xml:space="preserve">. </w:t>
      </w:r>
      <w:r w:rsidR="00FF594B" w:rsidRPr="00915D21">
        <w:t xml:space="preserve">The difference </w:t>
      </w:r>
      <w:r w:rsidR="00F13D47" w:rsidRPr="00915D21">
        <w:t xml:space="preserve">between these two </w:t>
      </w:r>
      <w:r w:rsidR="00FF594B" w:rsidRPr="00915D21">
        <w:t xml:space="preserve">is </w:t>
      </w:r>
      <w:r w:rsidR="007B7394">
        <w:t xml:space="preserve">mainly </w:t>
      </w:r>
      <w:r w:rsidR="00FF594B" w:rsidRPr="00915D21">
        <w:t>in water quantity,</w:t>
      </w:r>
      <w:r w:rsidR="00C01F97" w:rsidRPr="00915D21">
        <w:t xml:space="preserve"> </w:t>
      </w:r>
      <w:r w:rsidR="00F13D47" w:rsidRPr="00915D21">
        <w:t>as</w:t>
      </w:r>
      <w:r w:rsidR="00C01F97" w:rsidRPr="00915D21">
        <w:t xml:space="preserve"> the amount that is or can potentially be supplied by a scheme, might differ significantly from the amount of water actually used. This difference can be caused by a number of factors, including the presence of alternative water sources, the costs of accessing the services, the time and effort to access the service </w:t>
      </w:r>
      <w:r w:rsidR="003C376E">
        <w:t>or the fact that a system was designed to meet the needs of a growing population.</w:t>
      </w:r>
      <w:r w:rsidR="00C01F97" w:rsidRPr="00915D21">
        <w:t xml:space="preserve"> </w:t>
      </w:r>
      <w:r w:rsidR="00FF594B" w:rsidRPr="00915D21">
        <w:t xml:space="preserve">  </w:t>
      </w:r>
    </w:p>
    <w:p w14:paraId="64D82F5B" w14:textId="053A08BE" w:rsidR="00046332" w:rsidRDefault="007B5143" w:rsidP="00E9103B">
      <w:r w:rsidRPr="007B5143">
        <w:t xml:space="preserve">For each facility, the level of service provided by the facility can be measured and monitored at the facility, </w:t>
      </w:r>
      <w:r w:rsidR="0058350A">
        <w:t>through</w:t>
      </w:r>
      <w:r w:rsidRPr="007B5143">
        <w:t xml:space="preserve"> observations and interviews with the service provider responsible for operating and maintaining the facility. </w:t>
      </w:r>
      <w:r w:rsidR="00F6601A">
        <w:t xml:space="preserve"> </w:t>
      </w:r>
      <w:r w:rsidR="00F13D47" w:rsidRPr="00915D21">
        <w:t xml:space="preserve">Assessing and monitoring </w:t>
      </w:r>
      <w:r w:rsidR="00B83F1A">
        <w:t xml:space="preserve">actual </w:t>
      </w:r>
      <w:r w:rsidR="00F13D47" w:rsidRPr="00915D21">
        <w:t xml:space="preserve">water services </w:t>
      </w:r>
      <w:r>
        <w:t>that people receive</w:t>
      </w:r>
      <w:r w:rsidR="0058350A">
        <w:t xml:space="preserve"> and use</w:t>
      </w:r>
      <w:r>
        <w:t xml:space="preserve">, often from multiple sources, </w:t>
      </w:r>
      <w:r w:rsidR="00B83F1A">
        <w:t>requires</w:t>
      </w:r>
      <w:r w:rsidR="00F6601A">
        <w:t xml:space="preserve"> </w:t>
      </w:r>
      <w:r w:rsidR="00F13D47" w:rsidRPr="00915D21">
        <w:t>taking water use</w:t>
      </w:r>
      <w:r w:rsidR="00B83F1A">
        <w:t>rs as the main unit of analysis</w:t>
      </w:r>
      <w:r w:rsidR="00F6601A">
        <w:t>, by doing user / household surveys</w:t>
      </w:r>
      <w:r w:rsidR="00B83F1A">
        <w:t xml:space="preserve">. This </w:t>
      </w:r>
      <w:r w:rsidR="00F13D47" w:rsidRPr="00915D21">
        <w:t xml:space="preserve">has the advantage of providing a more </w:t>
      </w:r>
      <w:r w:rsidR="00046332" w:rsidRPr="00915D21">
        <w:t>accurate assessment of level of service</w:t>
      </w:r>
      <w:r>
        <w:t xml:space="preserve">. </w:t>
      </w:r>
      <w:r w:rsidR="00F13D47" w:rsidRPr="00915D21">
        <w:t xml:space="preserve"> </w:t>
      </w:r>
      <w:r w:rsidR="0058350A">
        <w:t>I</w:t>
      </w:r>
      <w:r w:rsidR="00F13D47" w:rsidRPr="00915D21">
        <w:t>t allows for taking into account t</w:t>
      </w:r>
      <w:r w:rsidR="00046332" w:rsidRPr="00915D21">
        <w:t>he use of multiple sources of water (especially relevant in rural settings)</w:t>
      </w:r>
      <w:r w:rsidR="0058350A">
        <w:t xml:space="preserve">. </w:t>
      </w:r>
      <w:r w:rsidR="00F13D47" w:rsidRPr="00915D21">
        <w:t xml:space="preserve"> </w:t>
      </w:r>
      <w:r w:rsidR="0058350A">
        <w:t xml:space="preserve">Furthermore, it </w:t>
      </w:r>
      <w:r w:rsidR="00F13D47" w:rsidRPr="00915D21">
        <w:t xml:space="preserve"> is e</w:t>
      </w:r>
      <w:r w:rsidR="00046332" w:rsidRPr="00915D21">
        <w:t xml:space="preserve">asy to aggregate for a </w:t>
      </w:r>
      <w:r w:rsidR="00F13D47" w:rsidRPr="00915D21">
        <w:t xml:space="preserve">certain </w:t>
      </w:r>
      <w:r w:rsidR="00046332" w:rsidRPr="00915D21">
        <w:t>area</w:t>
      </w:r>
      <w:r w:rsidR="009545D4">
        <w:t xml:space="preserve">, </w:t>
      </w:r>
      <w:r w:rsidR="00F13D47" w:rsidRPr="00915D21">
        <w:t xml:space="preserve">in the form of the proportion of people </w:t>
      </w:r>
      <w:r w:rsidR="00046332" w:rsidRPr="00915D21">
        <w:t>with access to different level of service</w:t>
      </w:r>
      <w:r w:rsidR="00F13D47" w:rsidRPr="00915D21">
        <w:t xml:space="preserve"> in a certain area</w:t>
      </w:r>
      <w:r w:rsidR="009545D4">
        <w:t xml:space="preserve"> (see figure below for an example)</w:t>
      </w:r>
      <w:r w:rsidR="00F13D47" w:rsidRPr="00915D21">
        <w:t xml:space="preserve">. </w:t>
      </w:r>
      <w:r w:rsidR="007B7394">
        <w:lastRenderedPageBreak/>
        <w:t xml:space="preserve">A disadvantage is however that this implies having to do </w:t>
      </w:r>
      <w:r>
        <w:t xml:space="preserve">user or </w:t>
      </w:r>
      <w:r w:rsidR="007B7394">
        <w:t xml:space="preserve">household surveys, which increases the number of data points and </w:t>
      </w:r>
      <w:r>
        <w:t xml:space="preserve">hence the data collection effort. </w:t>
      </w:r>
    </w:p>
    <w:p w14:paraId="4856E179" w14:textId="57146285" w:rsidR="003828B5" w:rsidRDefault="009545D4" w:rsidP="00EF6906">
      <w:pPr>
        <w:pStyle w:val="Caption"/>
      </w:pPr>
      <w:r>
        <w:t xml:space="preserve">Figure </w:t>
      </w:r>
      <w:r w:rsidR="005B3977">
        <w:fldChar w:fldCharType="begin"/>
      </w:r>
      <w:r w:rsidR="005B3977">
        <w:instrText xml:space="preserve"> SEQ Figure \* ARABIC </w:instrText>
      </w:r>
      <w:r w:rsidR="005B3977">
        <w:fldChar w:fldCharType="separate"/>
      </w:r>
      <w:r>
        <w:rPr>
          <w:noProof/>
        </w:rPr>
        <w:t>2</w:t>
      </w:r>
      <w:r w:rsidR="005B3977">
        <w:rPr>
          <w:noProof/>
        </w:rPr>
        <w:fldChar w:fldCharType="end"/>
      </w:r>
      <w:r>
        <w:t>: Percentage of people with access to different level of water quantity</w:t>
      </w:r>
      <w:r w:rsidR="00EF6906">
        <w:t xml:space="preserve"> in </w:t>
      </w:r>
      <w:proofErr w:type="spellStart"/>
      <w:r w:rsidR="00EF6906">
        <w:t>Grushie</w:t>
      </w:r>
      <w:proofErr w:type="spellEnd"/>
      <w:r w:rsidR="00EF6906">
        <w:t xml:space="preserve"> </w:t>
      </w:r>
      <w:proofErr w:type="spellStart"/>
      <w:r w:rsidR="00EF6906">
        <w:t>Zongo</w:t>
      </w:r>
      <w:proofErr w:type="spellEnd"/>
      <w:r w:rsidR="00EF6906">
        <w:t xml:space="preserve">, East </w:t>
      </w:r>
      <w:proofErr w:type="spellStart"/>
      <w:r w:rsidR="00EF6906">
        <w:t>Gonja</w:t>
      </w:r>
      <w:proofErr w:type="spellEnd"/>
      <w:r w:rsidR="00EF6906">
        <w:t xml:space="preserve"> District, Ghana</w:t>
      </w:r>
    </w:p>
    <w:p w14:paraId="39766292" w14:textId="6031339C" w:rsidR="003828B5" w:rsidRDefault="003828B5" w:rsidP="00E9103B">
      <w:r>
        <w:rPr>
          <w:noProof/>
          <w:lang w:eastAsia="en-GB"/>
        </w:rPr>
        <w:drawing>
          <wp:inline distT="0" distB="0" distL="0" distR="0" wp14:anchorId="34B3885E" wp14:editId="7504DBE2">
            <wp:extent cx="3605842" cy="262367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5842" cy="2623671"/>
                    </a:xfrm>
                    <a:prstGeom prst="rect">
                      <a:avLst/>
                    </a:prstGeom>
                    <a:noFill/>
                    <a:ln>
                      <a:noFill/>
                    </a:ln>
                  </pic:spPr>
                </pic:pic>
              </a:graphicData>
            </a:graphic>
          </wp:inline>
        </w:drawing>
      </w:r>
    </w:p>
    <w:p w14:paraId="0E49ACFB" w14:textId="40F7F134" w:rsidR="009545D4" w:rsidRPr="00915D21" w:rsidRDefault="009545D4" w:rsidP="00E9103B">
      <w:r>
        <w:t xml:space="preserve">Source: </w:t>
      </w:r>
      <w:proofErr w:type="spellStart"/>
      <w:r>
        <w:t>WASHCost</w:t>
      </w:r>
      <w:proofErr w:type="spellEnd"/>
      <w:r>
        <w:t xml:space="preserve"> Ghana, 2012</w:t>
      </w:r>
    </w:p>
    <w:p w14:paraId="2492D9C2" w14:textId="77777777" w:rsidR="00A75401" w:rsidRPr="00915D21" w:rsidRDefault="00454FDD" w:rsidP="00276212">
      <w:pPr>
        <w:pStyle w:val="Heading1"/>
      </w:pPr>
      <w:bookmarkStart w:id="3" w:name="_Toc351642758"/>
      <w:r w:rsidRPr="00915D21">
        <w:t>S</w:t>
      </w:r>
      <w:r w:rsidR="00BC59C6" w:rsidRPr="00915D21">
        <w:t>ervice provider</w:t>
      </w:r>
      <w:r w:rsidRPr="00915D21">
        <w:t xml:space="preserve"> performance</w:t>
      </w:r>
      <w:r w:rsidR="00BC59C6" w:rsidRPr="00915D21">
        <w:t xml:space="preserve"> indicators</w:t>
      </w:r>
      <w:bookmarkEnd w:id="3"/>
    </w:p>
    <w:p w14:paraId="30B8A080" w14:textId="442581BC" w:rsidR="00357A65" w:rsidRPr="00915D21" w:rsidRDefault="00357A65" w:rsidP="00490AE5">
      <w:r w:rsidRPr="00915D21">
        <w:t xml:space="preserve">In general </w:t>
      </w:r>
      <w:r w:rsidR="00454FDD" w:rsidRPr="00915D21">
        <w:t xml:space="preserve">this sub-set of </w:t>
      </w:r>
      <w:r w:rsidRPr="00915D21">
        <w:t xml:space="preserve">indicators </w:t>
      </w:r>
      <w:r w:rsidR="00454FDD" w:rsidRPr="00915D21">
        <w:t>seeks to measure the performance of service providers, defined as the degree of compliance with national norms, standards and best practices. Typically these indicators are group</w:t>
      </w:r>
      <w:r w:rsidR="00B83F1A">
        <w:t>e</w:t>
      </w:r>
      <w:r w:rsidR="00454FDD" w:rsidRPr="00915D21">
        <w:t>d</w:t>
      </w:r>
      <w:r w:rsidR="00B83F1A">
        <w:t xml:space="preserve"> </w:t>
      </w:r>
      <w:r w:rsidR="00454FDD" w:rsidRPr="00915D21">
        <w:t>around</w:t>
      </w:r>
      <w:r w:rsidR="00B83F1A">
        <w:t xml:space="preserve"> </w:t>
      </w:r>
      <w:r w:rsidRPr="00915D21">
        <w:t>a number of common topics</w:t>
      </w:r>
      <w:r w:rsidR="0058350A">
        <w:t xml:space="preserve"> (see annex 1 for an overview of service provider indicators from a number of </w:t>
      </w:r>
      <w:proofErr w:type="spellStart"/>
      <w:r w:rsidR="0058350A">
        <w:t>coutries</w:t>
      </w:r>
      <w:proofErr w:type="spellEnd"/>
      <w:r w:rsidR="0058350A">
        <w:t>)</w:t>
      </w:r>
      <w:r w:rsidRPr="00915D21">
        <w:t xml:space="preserve">: </w:t>
      </w:r>
    </w:p>
    <w:p w14:paraId="5D9765B2" w14:textId="77777777" w:rsidR="004F31D5" w:rsidRDefault="00046332" w:rsidP="00357A65">
      <w:pPr>
        <w:numPr>
          <w:ilvl w:val="2"/>
          <w:numId w:val="1"/>
        </w:numPr>
      </w:pPr>
      <w:r w:rsidRPr="00915D21">
        <w:t xml:space="preserve">Organisation </w:t>
      </w:r>
      <w:r w:rsidR="004F31D5">
        <w:t xml:space="preserve">and </w:t>
      </w:r>
      <w:r w:rsidRPr="00915D21">
        <w:t xml:space="preserve"> </w:t>
      </w:r>
      <w:r w:rsidR="004F31D5" w:rsidRPr="00915D21">
        <w:t xml:space="preserve">governance </w:t>
      </w:r>
    </w:p>
    <w:p w14:paraId="35F20ABE" w14:textId="7E2AB0E6" w:rsidR="00046332" w:rsidRPr="00915D21" w:rsidRDefault="004F31D5" w:rsidP="00357A65">
      <w:pPr>
        <w:numPr>
          <w:ilvl w:val="2"/>
          <w:numId w:val="1"/>
        </w:numPr>
      </w:pPr>
      <w:r>
        <w:t>A</w:t>
      </w:r>
      <w:r w:rsidR="00F76AB5">
        <w:t xml:space="preserve">dministration </w:t>
      </w:r>
      <w:r>
        <w:t xml:space="preserve">and </w:t>
      </w:r>
      <w:r w:rsidR="00113D97" w:rsidRPr="00915D21">
        <w:t>a</w:t>
      </w:r>
      <w:r w:rsidR="00357A65" w:rsidRPr="00915D21">
        <w:t>ccountability of the service provider</w:t>
      </w:r>
    </w:p>
    <w:p w14:paraId="2192F65D" w14:textId="14043559" w:rsidR="00046332" w:rsidRPr="00915D21" w:rsidRDefault="00046332" w:rsidP="00046332">
      <w:pPr>
        <w:numPr>
          <w:ilvl w:val="2"/>
          <w:numId w:val="1"/>
        </w:numPr>
      </w:pPr>
      <w:r w:rsidRPr="00915D21">
        <w:t>Financial management</w:t>
      </w:r>
    </w:p>
    <w:p w14:paraId="1E02115F" w14:textId="4D50F68E" w:rsidR="00046332" w:rsidRPr="00915D21" w:rsidRDefault="00046332" w:rsidP="00046332">
      <w:pPr>
        <w:numPr>
          <w:ilvl w:val="2"/>
          <w:numId w:val="1"/>
        </w:numPr>
      </w:pPr>
      <w:r w:rsidRPr="00915D21">
        <w:t xml:space="preserve">Technical </w:t>
      </w:r>
      <w:r w:rsidR="004F31D5">
        <w:t xml:space="preserve">and </w:t>
      </w:r>
      <w:r w:rsidRPr="00915D21">
        <w:t>operational management</w:t>
      </w:r>
    </w:p>
    <w:p w14:paraId="50613D35" w14:textId="1086AECE" w:rsidR="00357A65" w:rsidRPr="00915D21" w:rsidRDefault="00C42141" w:rsidP="00C42141">
      <w:r w:rsidRPr="00915D21">
        <w:t xml:space="preserve">In order to </w:t>
      </w:r>
      <w:r w:rsidR="00EF534E" w:rsidRPr="00915D21">
        <w:t>convert qualitative information into quantitative service provider scores</w:t>
      </w:r>
      <w:r w:rsidRPr="00915D21">
        <w:t xml:space="preserve">, scoring </w:t>
      </w:r>
      <w:r w:rsidR="00357A65" w:rsidRPr="00915D21">
        <w:t>tables</w:t>
      </w:r>
      <w:r w:rsidRPr="00915D21">
        <w:t xml:space="preserve"> are commonly used. </w:t>
      </w:r>
      <w:r w:rsidR="00EF534E" w:rsidRPr="00915D21">
        <w:t>A</w:t>
      </w:r>
      <w:r w:rsidRPr="00915D21">
        <w:t xml:space="preserve"> service provider indicator can be a composite indicator of a number of sub-indicators. Scores typically </w:t>
      </w:r>
      <w:r w:rsidR="00EF534E" w:rsidRPr="00915D21">
        <w:t>g</w:t>
      </w:r>
      <w:r w:rsidRPr="00915D21">
        <w:t>o from 0 (‘</w:t>
      </w:r>
      <w:r w:rsidR="00357A65" w:rsidRPr="00915D21">
        <w:t>none</w:t>
      </w:r>
      <w:r w:rsidRPr="00915D21">
        <w:t xml:space="preserve">’) to </w:t>
      </w:r>
      <w:r w:rsidR="0058350A">
        <w:t xml:space="preserve">1 or 100 </w:t>
      </w:r>
      <w:r w:rsidRPr="00915D21">
        <w:t>(‘</w:t>
      </w:r>
      <w:r w:rsidR="00357A65" w:rsidRPr="00915D21">
        <w:t>ideal</w:t>
      </w:r>
      <w:r w:rsidRPr="00915D21">
        <w:t>’)</w:t>
      </w:r>
      <w:r w:rsidR="003578BB">
        <w:t xml:space="preserve">, with scores in between to indicate the less than acceptable level, the minimal acceptable level and the better than acceptable level. </w:t>
      </w:r>
      <w:r w:rsidR="00EF534E" w:rsidRPr="00915D21">
        <w:t>For each indicator, a benchmark can be set at the minimal acceptable level</w:t>
      </w:r>
      <w:r w:rsidRPr="00915D21">
        <w:t>.</w:t>
      </w:r>
      <w:r w:rsidR="00EF534E" w:rsidRPr="00915D21">
        <w:t xml:space="preserve"> </w:t>
      </w:r>
      <w:r w:rsidRPr="00915D21">
        <w:t xml:space="preserve"> </w:t>
      </w:r>
    </w:p>
    <w:p w14:paraId="3D75EFF9" w14:textId="77777777" w:rsidR="00113D97" w:rsidRPr="00915D21" w:rsidRDefault="00113D97" w:rsidP="00C42141">
      <w:r w:rsidRPr="00915D21">
        <w:t xml:space="preserve">The table below gives an example of a scoring table for a service provider indicator related to the composition of a Water and Sanitation committee in Ghana. </w:t>
      </w:r>
    </w:p>
    <w:p w14:paraId="65854AF9" w14:textId="77777777" w:rsidR="00C41280" w:rsidRDefault="00C41280" w:rsidP="00113D97">
      <w:pPr>
        <w:pStyle w:val="Caption"/>
      </w:pPr>
    </w:p>
    <w:p w14:paraId="459A1DC1" w14:textId="77777777" w:rsidR="00C41280" w:rsidRDefault="00C41280" w:rsidP="00113D97">
      <w:pPr>
        <w:pStyle w:val="Caption"/>
      </w:pPr>
    </w:p>
    <w:p w14:paraId="7083F580" w14:textId="77777777" w:rsidR="00113D97" w:rsidRPr="00915D21" w:rsidRDefault="00113D97" w:rsidP="00113D97">
      <w:pPr>
        <w:pStyle w:val="Caption"/>
      </w:pPr>
      <w:r w:rsidRPr="00915D21">
        <w:lastRenderedPageBreak/>
        <w:t xml:space="preserve">Table </w:t>
      </w:r>
      <w:r w:rsidR="005B3977">
        <w:fldChar w:fldCharType="begin"/>
      </w:r>
      <w:r w:rsidR="005B3977">
        <w:instrText xml:space="preserve"> SEQ Table \* ARABIC </w:instrText>
      </w:r>
      <w:r w:rsidR="005B3977">
        <w:fldChar w:fldCharType="separate"/>
      </w:r>
      <w:r w:rsidR="00B7292B">
        <w:rPr>
          <w:noProof/>
        </w:rPr>
        <w:t>2</w:t>
      </w:r>
      <w:r w:rsidR="005B3977">
        <w:rPr>
          <w:noProof/>
        </w:rPr>
        <w:fldChar w:fldCharType="end"/>
      </w:r>
      <w:r w:rsidRPr="00915D21">
        <w:t>: Example of service provider indicator scoring table</w:t>
      </w:r>
      <w:r w:rsidR="003C376E">
        <w:t xml:space="preserve"> for water and sanitation committees</w:t>
      </w:r>
    </w:p>
    <w:tbl>
      <w:tblPr>
        <w:tblStyle w:val="TableGrid1"/>
        <w:tblW w:w="9195" w:type="dxa"/>
        <w:tblLook w:val="04A0" w:firstRow="1" w:lastRow="0" w:firstColumn="1" w:lastColumn="0" w:noHBand="0" w:noVBand="1"/>
      </w:tblPr>
      <w:tblGrid>
        <w:gridCol w:w="762"/>
        <w:gridCol w:w="8433"/>
      </w:tblGrid>
      <w:tr w:rsidR="00113D97" w:rsidRPr="000D5B88" w14:paraId="2547F900" w14:textId="77777777" w:rsidTr="000D5B88">
        <w:trPr>
          <w:cnfStyle w:val="100000000000" w:firstRow="1" w:lastRow="0" w:firstColumn="0" w:lastColumn="0" w:oddVBand="0" w:evenVBand="0" w:oddHBand="0" w:evenHBand="0" w:firstRowFirstColumn="0" w:firstRowLastColumn="0" w:lastRowFirstColumn="0" w:lastRowLastColumn="0"/>
          <w:trHeight w:val="635"/>
        </w:trPr>
        <w:tc>
          <w:tcPr>
            <w:tcW w:w="735" w:type="dxa"/>
            <w:hideMark/>
          </w:tcPr>
          <w:p w14:paraId="116E2BBC" w14:textId="77777777" w:rsidR="00FC1F3D" w:rsidRPr="000D5B88" w:rsidRDefault="00113D97" w:rsidP="00D04E1F">
            <w:pPr>
              <w:rPr>
                <w:rFonts w:asciiTheme="minorHAnsi" w:hAnsiTheme="minorHAnsi"/>
                <w:szCs w:val="18"/>
              </w:rPr>
            </w:pPr>
            <w:r w:rsidRPr="000D5B88">
              <w:rPr>
                <w:rFonts w:asciiTheme="minorHAnsi" w:hAnsiTheme="minorHAnsi"/>
                <w:szCs w:val="18"/>
              </w:rPr>
              <w:t>Score</w:t>
            </w:r>
          </w:p>
        </w:tc>
        <w:tc>
          <w:tcPr>
            <w:tcW w:w="8460" w:type="dxa"/>
            <w:hideMark/>
          </w:tcPr>
          <w:p w14:paraId="4A9084EB" w14:textId="77777777" w:rsidR="00FC1F3D" w:rsidRPr="000D5B88" w:rsidRDefault="00113D97" w:rsidP="00D04E1F">
            <w:pPr>
              <w:rPr>
                <w:rFonts w:asciiTheme="minorHAnsi" w:hAnsiTheme="minorHAnsi"/>
                <w:szCs w:val="18"/>
              </w:rPr>
            </w:pPr>
            <w:r w:rsidRPr="000D5B88">
              <w:rPr>
                <w:rFonts w:asciiTheme="minorHAnsi" w:hAnsiTheme="minorHAnsi"/>
                <w:szCs w:val="18"/>
              </w:rPr>
              <w:t xml:space="preserve">Narrative description </w:t>
            </w:r>
          </w:p>
        </w:tc>
      </w:tr>
      <w:tr w:rsidR="00113D97" w:rsidRPr="000D5B88" w14:paraId="0E92749B" w14:textId="77777777" w:rsidTr="000D5B88">
        <w:trPr>
          <w:trHeight w:val="64"/>
        </w:trPr>
        <w:tc>
          <w:tcPr>
            <w:tcW w:w="735" w:type="dxa"/>
            <w:hideMark/>
          </w:tcPr>
          <w:p w14:paraId="55282F5E" w14:textId="77777777" w:rsidR="00FC1F3D" w:rsidRPr="000D5B88" w:rsidRDefault="00113D97" w:rsidP="00D04E1F">
            <w:pPr>
              <w:rPr>
                <w:rFonts w:asciiTheme="minorHAnsi" w:hAnsiTheme="minorHAnsi"/>
                <w:szCs w:val="18"/>
              </w:rPr>
            </w:pPr>
            <w:r w:rsidRPr="000D5B88">
              <w:rPr>
                <w:rFonts w:asciiTheme="minorHAnsi" w:hAnsiTheme="minorHAnsi"/>
                <w:szCs w:val="18"/>
              </w:rPr>
              <w:t>0</w:t>
            </w:r>
          </w:p>
        </w:tc>
        <w:tc>
          <w:tcPr>
            <w:tcW w:w="8460" w:type="dxa"/>
            <w:hideMark/>
          </w:tcPr>
          <w:p w14:paraId="01AE1619" w14:textId="77777777" w:rsidR="00FC1F3D" w:rsidRPr="000D5B88" w:rsidRDefault="00113D97" w:rsidP="00D04E1F">
            <w:pPr>
              <w:rPr>
                <w:rFonts w:asciiTheme="minorHAnsi" w:hAnsiTheme="minorHAnsi"/>
                <w:szCs w:val="18"/>
              </w:rPr>
            </w:pPr>
            <w:r w:rsidRPr="000D5B88">
              <w:rPr>
                <w:rFonts w:asciiTheme="minorHAnsi" w:hAnsiTheme="minorHAnsi"/>
                <w:szCs w:val="18"/>
              </w:rPr>
              <w:t xml:space="preserve">The composition of the WATSAN committee is </w:t>
            </w:r>
            <w:r w:rsidRPr="000D5B88">
              <w:rPr>
                <w:rFonts w:asciiTheme="minorHAnsi" w:hAnsiTheme="minorHAnsi"/>
                <w:szCs w:val="18"/>
                <w:u w:val="single"/>
              </w:rPr>
              <w:t>not</w:t>
            </w:r>
            <w:r w:rsidRPr="000D5B88">
              <w:rPr>
                <w:rFonts w:asciiTheme="minorHAnsi" w:hAnsiTheme="minorHAnsi"/>
                <w:szCs w:val="18"/>
              </w:rPr>
              <w:t xml:space="preserve"> in line with the CWSA guidelines</w:t>
            </w:r>
          </w:p>
        </w:tc>
      </w:tr>
      <w:tr w:rsidR="00113D97" w:rsidRPr="000D5B88" w14:paraId="366189A4" w14:textId="77777777" w:rsidTr="000D5B88">
        <w:trPr>
          <w:trHeight w:val="39"/>
        </w:trPr>
        <w:tc>
          <w:tcPr>
            <w:tcW w:w="735" w:type="dxa"/>
            <w:hideMark/>
          </w:tcPr>
          <w:p w14:paraId="239028A4" w14:textId="77777777" w:rsidR="00FC1F3D" w:rsidRPr="000D5B88" w:rsidRDefault="00113D97" w:rsidP="00D04E1F">
            <w:pPr>
              <w:rPr>
                <w:rFonts w:asciiTheme="minorHAnsi" w:hAnsiTheme="minorHAnsi"/>
                <w:szCs w:val="18"/>
              </w:rPr>
            </w:pPr>
            <w:r w:rsidRPr="000D5B88">
              <w:rPr>
                <w:rFonts w:asciiTheme="minorHAnsi" w:hAnsiTheme="minorHAnsi"/>
                <w:szCs w:val="18"/>
              </w:rPr>
              <w:t>25</w:t>
            </w:r>
          </w:p>
        </w:tc>
        <w:tc>
          <w:tcPr>
            <w:tcW w:w="8460" w:type="dxa"/>
            <w:hideMark/>
          </w:tcPr>
          <w:p w14:paraId="6C73ED3F" w14:textId="77777777" w:rsidR="00FC1F3D" w:rsidRPr="000D5B88" w:rsidRDefault="00113D97" w:rsidP="00D04E1F">
            <w:pPr>
              <w:rPr>
                <w:rFonts w:asciiTheme="minorHAnsi" w:hAnsiTheme="minorHAnsi"/>
                <w:szCs w:val="18"/>
              </w:rPr>
            </w:pPr>
            <w:r w:rsidRPr="000D5B88">
              <w:rPr>
                <w:rFonts w:asciiTheme="minorHAnsi" w:hAnsiTheme="minorHAnsi"/>
                <w:szCs w:val="18"/>
              </w:rPr>
              <w:t xml:space="preserve">There is a WATSAN committee, which has been composed in line with the CWSA guidelines, but the WATSAN has </w:t>
            </w:r>
            <w:r w:rsidRPr="000D5B88">
              <w:rPr>
                <w:rFonts w:asciiTheme="minorHAnsi" w:hAnsiTheme="minorHAnsi"/>
                <w:szCs w:val="18"/>
                <w:u w:val="single"/>
              </w:rPr>
              <w:t>not</w:t>
            </w:r>
            <w:r w:rsidRPr="000D5B88">
              <w:rPr>
                <w:rFonts w:asciiTheme="minorHAnsi" w:hAnsiTheme="minorHAnsi"/>
                <w:szCs w:val="18"/>
              </w:rPr>
              <w:t xml:space="preserve"> received initial training</w:t>
            </w:r>
          </w:p>
        </w:tc>
      </w:tr>
      <w:tr w:rsidR="00113D97" w:rsidRPr="000D5B88" w14:paraId="59686EB9" w14:textId="77777777" w:rsidTr="000D5B88">
        <w:trPr>
          <w:trHeight w:val="39"/>
        </w:trPr>
        <w:tc>
          <w:tcPr>
            <w:tcW w:w="735" w:type="dxa"/>
            <w:hideMark/>
          </w:tcPr>
          <w:p w14:paraId="56EA26E1" w14:textId="77777777" w:rsidR="00FC1F3D" w:rsidRPr="000D5B88" w:rsidRDefault="00113D97" w:rsidP="00D04E1F">
            <w:pPr>
              <w:rPr>
                <w:rFonts w:asciiTheme="minorHAnsi" w:hAnsiTheme="minorHAnsi"/>
                <w:szCs w:val="18"/>
              </w:rPr>
            </w:pPr>
            <w:r w:rsidRPr="000D5B88">
              <w:rPr>
                <w:rFonts w:asciiTheme="minorHAnsi" w:hAnsiTheme="minorHAnsi"/>
                <w:szCs w:val="18"/>
              </w:rPr>
              <w:t>50</w:t>
            </w:r>
          </w:p>
        </w:tc>
        <w:tc>
          <w:tcPr>
            <w:tcW w:w="8460" w:type="dxa"/>
            <w:hideMark/>
          </w:tcPr>
          <w:p w14:paraId="6FE25875" w14:textId="77777777" w:rsidR="00FC1F3D" w:rsidRPr="000D5B88" w:rsidRDefault="00113D97" w:rsidP="00D04E1F">
            <w:pPr>
              <w:rPr>
                <w:rFonts w:asciiTheme="minorHAnsi" w:hAnsiTheme="minorHAnsi"/>
                <w:szCs w:val="18"/>
              </w:rPr>
            </w:pPr>
            <w:r w:rsidRPr="000D5B88">
              <w:rPr>
                <w:rFonts w:asciiTheme="minorHAnsi" w:hAnsiTheme="minorHAnsi"/>
                <w:szCs w:val="18"/>
              </w:rPr>
              <w:t xml:space="preserve">Benchmark: There is a WATSAN committee. Its composition is in line with the CWSA guidelines and it has received </w:t>
            </w:r>
            <w:r w:rsidRPr="000D5B88">
              <w:rPr>
                <w:rFonts w:asciiTheme="minorHAnsi" w:hAnsiTheme="minorHAnsi"/>
                <w:szCs w:val="18"/>
                <w:u w:val="single"/>
              </w:rPr>
              <w:t>initial</w:t>
            </w:r>
            <w:r w:rsidRPr="000D5B88">
              <w:rPr>
                <w:rFonts w:asciiTheme="minorHAnsi" w:hAnsiTheme="minorHAnsi"/>
                <w:szCs w:val="18"/>
              </w:rPr>
              <w:t xml:space="preserve"> training</w:t>
            </w:r>
          </w:p>
        </w:tc>
      </w:tr>
      <w:tr w:rsidR="00113D97" w:rsidRPr="000D5B88" w14:paraId="21AF605D" w14:textId="77777777" w:rsidTr="000D5B88">
        <w:trPr>
          <w:trHeight w:val="39"/>
        </w:trPr>
        <w:tc>
          <w:tcPr>
            <w:tcW w:w="735" w:type="dxa"/>
            <w:hideMark/>
          </w:tcPr>
          <w:p w14:paraId="166C908B" w14:textId="77777777" w:rsidR="00FC1F3D" w:rsidRPr="000D5B88" w:rsidRDefault="00113D97" w:rsidP="00D04E1F">
            <w:pPr>
              <w:rPr>
                <w:rFonts w:asciiTheme="minorHAnsi" w:hAnsiTheme="minorHAnsi"/>
                <w:szCs w:val="18"/>
              </w:rPr>
            </w:pPr>
            <w:r w:rsidRPr="000D5B88">
              <w:rPr>
                <w:rFonts w:asciiTheme="minorHAnsi" w:hAnsiTheme="minorHAnsi"/>
                <w:szCs w:val="18"/>
              </w:rPr>
              <w:t>75</w:t>
            </w:r>
          </w:p>
        </w:tc>
        <w:tc>
          <w:tcPr>
            <w:tcW w:w="8460" w:type="dxa"/>
            <w:hideMark/>
          </w:tcPr>
          <w:p w14:paraId="5DF1D619" w14:textId="77777777" w:rsidR="00FC1F3D" w:rsidRPr="000D5B88" w:rsidRDefault="00113D97" w:rsidP="00D04E1F">
            <w:pPr>
              <w:rPr>
                <w:rFonts w:asciiTheme="minorHAnsi" w:hAnsiTheme="minorHAnsi"/>
                <w:szCs w:val="18"/>
              </w:rPr>
            </w:pPr>
            <w:r w:rsidRPr="000D5B88">
              <w:rPr>
                <w:rFonts w:asciiTheme="minorHAnsi" w:hAnsiTheme="minorHAnsi"/>
                <w:szCs w:val="18"/>
              </w:rPr>
              <w:t xml:space="preserve">There is a WATSAN committee. Its composition is in line with the CWSA guidelines and its members have received </w:t>
            </w:r>
            <w:r w:rsidRPr="000D5B88">
              <w:rPr>
                <w:rFonts w:asciiTheme="minorHAnsi" w:hAnsiTheme="minorHAnsi"/>
                <w:szCs w:val="18"/>
                <w:u w:val="single"/>
              </w:rPr>
              <w:t>refresher training on an irregular basis</w:t>
            </w:r>
          </w:p>
        </w:tc>
      </w:tr>
      <w:tr w:rsidR="00113D97" w:rsidRPr="000D5B88" w14:paraId="4E95C7C2" w14:textId="77777777" w:rsidTr="000D5B88">
        <w:trPr>
          <w:trHeight w:val="39"/>
        </w:trPr>
        <w:tc>
          <w:tcPr>
            <w:tcW w:w="735" w:type="dxa"/>
            <w:hideMark/>
          </w:tcPr>
          <w:p w14:paraId="60109D1C" w14:textId="77777777" w:rsidR="00FC1F3D" w:rsidRPr="000D5B88" w:rsidRDefault="00113D97" w:rsidP="00D04E1F">
            <w:pPr>
              <w:rPr>
                <w:rFonts w:asciiTheme="minorHAnsi" w:hAnsiTheme="minorHAnsi"/>
                <w:szCs w:val="18"/>
              </w:rPr>
            </w:pPr>
            <w:r w:rsidRPr="000D5B88">
              <w:rPr>
                <w:rFonts w:asciiTheme="minorHAnsi" w:hAnsiTheme="minorHAnsi"/>
                <w:szCs w:val="18"/>
              </w:rPr>
              <w:t>100</w:t>
            </w:r>
          </w:p>
        </w:tc>
        <w:tc>
          <w:tcPr>
            <w:tcW w:w="8460" w:type="dxa"/>
            <w:hideMark/>
          </w:tcPr>
          <w:p w14:paraId="78682664" w14:textId="77777777" w:rsidR="00FC1F3D" w:rsidRPr="000D5B88" w:rsidRDefault="00113D97" w:rsidP="00D04E1F">
            <w:pPr>
              <w:rPr>
                <w:rFonts w:asciiTheme="minorHAnsi" w:hAnsiTheme="minorHAnsi"/>
                <w:szCs w:val="18"/>
              </w:rPr>
            </w:pPr>
            <w:r w:rsidRPr="000D5B88">
              <w:rPr>
                <w:rFonts w:asciiTheme="minorHAnsi" w:hAnsiTheme="minorHAnsi"/>
                <w:szCs w:val="18"/>
              </w:rPr>
              <w:t>There is a WATSAN committee. Its composition is in line with the CWSA guidelines and its members have received</w:t>
            </w:r>
            <w:r w:rsidRPr="000D5B88">
              <w:rPr>
                <w:rFonts w:asciiTheme="minorHAnsi" w:hAnsiTheme="minorHAnsi"/>
                <w:szCs w:val="18"/>
                <w:u w:val="single"/>
              </w:rPr>
              <w:t xml:space="preserve"> refresher training</w:t>
            </w:r>
            <w:r w:rsidRPr="000D5B88">
              <w:rPr>
                <w:rFonts w:asciiTheme="minorHAnsi" w:hAnsiTheme="minorHAnsi"/>
                <w:szCs w:val="18"/>
              </w:rPr>
              <w:t xml:space="preserve"> </w:t>
            </w:r>
            <w:r w:rsidRPr="000D5B88">
              <w:rPr>
                <w:rFonts w:asciiTheme="minorHAnsi" w:hAnsiTheme="minorHAnsi"/>
                <w:szCs w:val="18"/>
                <w:u w:val="single"/>
              </w:rPr>
              <w:t>on at least bi-annual basis</w:t>
            </w:r>
          </w:p>
        </w:tc>
      </w:tr>
    </w:tbl>
    <w:p w14:paraId="631D39DD" w14:textId="60417186" w:rsidR="00113D97" w:rsidRPr="00915D21" w:rsidRDefault="00B7292B" w:rsidP="00C42141">
      <w:r>
        <w:t>Source: Adank et al, 2013 forthcoming</w:t>
      </w:r>
    </w:p>
    <w:p w14:paraId="7341ABB3" w14:textId="532E991A" w:rsidR="00DE3313" w:rsidRPr="00915D21" w:rsidRDefault="003856A9" w:rsidP="00C42141">
      <w:r w:rsidRPr="00915D21">
        <w:t xml:space="preserve">Scoring can be done automatically, based on data collected related to the indicators, using logical functions, or can be done in focus group discussions by relevant stakeholders. </w:t>
      </w:r>
      <w:r w:rsidR="00085325">
        <w:t xml:space="preserve">Automated scoring, based on collected data </w:t>
      </w:r>
      <w:r w:rsidRPr="00915D21">
        <w:t xml:space="preserve">results in un-ambiguous scores, but generally needs relatively large amounts of data in order to do the scoring. Scoring by stakeholders based on focus group discussions can result in more subjective scoring, but can have the advantage that stakeholders scoring themselves tend to be more motivated to take corrective actions and improve their scores before the next scoring round. </w:t>
      </w:r>
    </w:p>
    <w:p w14:paraId="3964D8C1" w14:textId="77777777" w:rsidR="00046332" w:rsidRPr="00915D21" w:rsidRDefault="00113D97" w:rsidP="00276212">
      <w:pPr>
        <w:pStyle w:val="Heading1"/>
      </w:pPr>
      <w:bookmarkStart w:id="4" w:name="_Toc351642759"/>
      <w:r w:rsidRPr="00915D21">
        <w:t>S</w:t>
      </w:r>
      <w:r w:rsidR="00C42141" w:rsidRPr="00915D21">
        <w:t xml:space="preserve">ervice authority </w:t>
      </w:r>
      <w:r w:rsidR="0017796B" w:rsidRPr="00915D21">
        <w:t xml:space="preserve">performance </w:t>
      </w:r>
      <w:r w:rsidR="00C42141" w:rsidRPr="00915D21">
        <w:t>indicators</w:t>
      </w:r>
      <w:bookmarkEnd w:id="4"/>
    </w:p>
    <w:p w14:paraId="6CDC3F26" w14:textId="19ECD49A" w:rsidR="00472489" w:rsidRPr="00915D21" w:rsidRDefault="00472489" w:rsidP="00472489">
      <w:r w:rsidRPr="00915D21">
        <w:t>Although some countries may have some degree of monitoring service providers</w:t>
      </w:r>
      <w:r w:rsidR="00D74BF9">
        <w:t>’ performance</w:t>
      </w:r>
      <w:r w:rsidRPr="00915D21">
        <w:t>, only few have developed indicators for assessing and monitoring service authorities</w:t>
      </w:r>
      <w:r w:rsidR="003578BB">
        <w:t xml:space="preserve"> and support functions</w:t>
      </w:r>
      <w:r w:rsidRPr="00915D21">
        <w:t xml:space="preserve">. </w:t>
      </w:r>
      <w:r w:rsidR="00454FDD" w:rsidRPr="00915D21">
        <w:t xml:space="preserve"> Service authority indicators refer to the performance of service authorities in their different functions. </w:t>
      </w:r>
      <w:r w:rsidR="00113D97" w:rsidRPr="00915D21">
        <w:t>U</w:t>
      </w:r>
      <w:r w:rsidRPr="00915D21">
        <w:t xml:space="preserve">nder </w:t>
      </w:r>
      <w:r w:rsidR="00113D97" w:rsidRPr="00915D21">
        <w:t xml:space="preserve">a number of </w:t>
      </w:r>
      <w:r w:rsidRPr="00915D21">
        <w:t>initiative</w:t>
      </w:r>
      <w:r w:rsidR="00113D97" w:rsidRPr="00915D21">
        <w:t xml:space="preserve">s, a start has been made with the </w:t>
      </w:r>
      <w:r w:rsidRPr="00915D21">
        <w:t>development of such indicators. These include indicators related to</w:t>
      </w:r>
      <w:r w:rsidR="003C376E">
        <w:t>:</w:t>
      </w:r>
      <w:r w:rsidRPr="00915D21">
        <w:t xml:space="preserve"> </w:t>
      </w:r>
    </w:p>
    <w:p w14:paraId="018465F0" w14:textId="77777777" w:rsidR="00085325" w:rsidRPr="00915D21" w:rsidRDefault="00085325" w:rsidP="00085325">
      <w:pPr>
        <w:numPr>
          <w:ilvl w:val="0"/>
          <w:numId w:val="10"/>
        </w:numPr>
      </w:pPr>
      <w:r w:rsidRPr="00915D21">
        <w:t xml:space="preserve">resourcing of service authority (human resources, logistics, </w:t>
      </w:r>
      <w:proofErr w:type="spellStart"/>
      <w:r w:rsidRPr="00915D21">
        <w:t>etc</w:t>
      </w:r>
      <w:proofErr w:type="spellEnd"/>
      <w:r w:rsidRPr="00915D21">
        <w:t>)</w:t>
      </w:r>
    </w:p>
    <w:p w14:paraId="2F5506D9" w14:textId="784AFF30" w:rsidR="00085325" w:rsidRPr="00915D21" w:rsidRDefault="00085325" w:rsidP="00085325">
      <w:pPr>
        <w:numPr>
          <w:ilvl w:val="0"/>
          <w:numId w:val="10"/>
        </w:numPr>
      </w:pPr>
      <w:r>
        <w:t xml:space="preserve">strategic </w:t>
      </w:r>
      <w:r w:rsidRPr="00915D21">
        <w:t xml:space="preserve">planning </w:t>
      </w:r>
      <w:r>
        <w:t>functions (long, medium and short (annual) term planning)</w:t>
      </w:r>
    </w:p>
    <w:p w14:paraId="1EB61195" w14:textId="4FABB6B9" w:rsidR="00085325" w:rsidRDefault="00085325" w:rsidP="00085325">
      <w:pPr>
        <w:numPr>
          <w:ilvl w:val="0"/>
          <w:numId w:val="10"/>
        </w:numPr>
      </w:pPr>
      <w:r>
        <w:t>P</w:t>
      </w:r>
      <w:r w:rsidRPr="00443502">
        <w:t>re-construction</w:t>
      </w:r>
      <w:r w:rsidRPr="00085325">
        <w:t xml:space="preserve"> </w:t>
      </w:r>
      <w:r w:rsidR="000C527A">
        <w:t>support</w:t>
      </w:r>
      <w:r>
        <w:t xml:space="preserve"> (</w:t>
      </w:r>
      <w:r w:rsidRPr="00443502">
        <w:t>demand creation</w:t>
      </w:r>
      <w:r>
        <w:t xml:space="preserve">; </w:t>
      </w:r>
      <w:r w:rsidRPr="00443502">
        <w:t>community mobilisation; capacity building of service providers</w:t>
      </w:r>
      <w:r>
        <w:t>)</w:t>
      </w:r>
    </w:p>
    <w:p w14:paraId="49F0F3B4" w14:textId="52077EEE" w:rsidR="00113D97" w:rsidRPr="00915D21" w:rsidRDefault="00113D97" w:rsidP="00113D97">
      <w:pPr>
        <w:numPr>
          <w:ilvl w:val="0"/>
          <w:numId w:val="10"/>
        </w:numPr>
      </w:pPr>
      <w:r w:rsidRPr="00915D21">
        <w:t>monitoring functions</w:t>
      </w:r>
      <w:r w:rsidR="00443502">
        <w:t xml:space="preserve"> (including construction supervision, </w:t>
      </w:r>
      <w:r w:rsidR="00085325">
        <w:t xml:space="preserve">as well as post-construction monitoring) </w:t>
      </w:r>
    </w:p>
    <w:p w14:paraId="3BC2149C" w14:textId="0DDE4AA1" w:rsidR="00113D97" w:rsidRPr="00915D21" w:rsidRDefault="00113D97" w:rsidP="00113D97">
      <w:pPr>
        <w:numPr>
          <w:ilvl w:val="0"/>
          <w:numId w:val="10"/>
        </w:numPr>
      </w:pPr>
      <w:r w:rsidRPr="00915D21">
        <w:t>technical assistance</w:t>
      </w:r>
      <w:r w:rsidR="00D74BF9">
        <w:t xml:space="preserve"> to service provider</w:t>
      </w:r>
    </w:p>
    <w:p w14:paraId="78FCAE65" w14:textId="384E4E5D" w:rsidR="009E3E84" w:rsidRPr="00915D21" w:rsidRDefault="00472489" w:rsidP="00472489">
      <w:pPr>
        <w:numPr>
          <w:ilvl w:val="0"/>
          <w:numId w:val="10"/>
        </w:numPr>
      </w:pPr>
      <w:r w:rsidRPr="00915D21">
        <w:t>c</w:t>
      </w:r>
      <w:r w:rsidR="00B83E46" w:rsidRPr="00915D21">
        <w:t xml:space="preserve">oordination </w:t>
      </w:r>
      <w:r w:rsidR="00443502">
        <w:t>and harmonisation</w:t>
      </w:r>
      <w:r w:rsidR="00B83E46" w:rsidRPr="00915D21">
        <w:t xml:space="preserve"> functions</w:t>
      </w:r>
    </w:p>
    <w:p w14:paraId="7B84C543" w14:textId="77777777" w:rsidR="003578BB" w:rsidRDefault="003578BB" w:rsidP="00472489">
      <w:r>
        <w:t xml:space="preserve">Examples of service authority indicators can be found in annex 2. </w:t>
      </w:r>
    </w:p>
    <w:p w14:paraId="10BB578C" w14:textId="2F90A86E" w:rsidR="00472489" w:rsidRPr="00915D21" w:rsidRDefault="009402E1" w:rsidP="00472489">
      <w:r>
        <w:t xml:space="preserve">These service authority </w:t>
      </w:r>
      <w:r w:rsidR="00472489" w:rsidRPr="00915D21">
        <w:t xml:space="preserve">functions can be </w:t>
      </w:r>
      <w:r>
        <w:t xml:space="preserve">the responsibility of </w:t>
      </w:r>
      <w:r w:rsidR="00472489" w:rsidRPr="00915D21">
        <w:t>different institutions</w:t>
      </w:r>
      <w:r>
        <w:t>, but generally fall under local government (commonly the district level)</w:t>
      </w:r>
      <w:r w:rsidR="00472489" w:rsidRPr="00915D21">
        <w:t xml:space="preserve">. </w:t>
      </w:r>
    </w:p>
    <w:p w14:paraId="7E1A5D43" w14:textId="6198894B" w:rsidR="00472489" w:rsidRPr="00915D21" w:rsidRDefault="00472489" w:rsidP="00472489">
      <w:r w:rsidRPr="00915D21">
        <w:lastRenderedPageBreak/>
        <w:t xml:space="preserve">Like the service provider indicators, service authority indicators can be benchmarked and scored using scoring tables with narrative descriptions of the different scores. </w:t>
      </w:r>
    </w:p>
    <w:p w14:paraId="3F186A59" w14:textId="77777777" w:rsidR="003578BB" w:rsidRDefault="003578BB" w:rsidP="00942607">
      <w:bookmarkStart w:id="5" w:name="_Toc351642760"/>
    </w:p>
    <w:p w14:paraId="5478D783" w14:textId="66E3672A" w:rsidR="00454FDD" w:rsidRPr="005B5813" w:rsidRDefault="00983DE0" w:rsidP="00276212">
      <w:pPr>
        <w:pStyle w:val="Heading1"/>
      </w:pPr>
      <w:r w:rsidRPr="00983DE0">
        <w:t>E</w:t>
      </w:r>
      <w:r w:rsidR="002A60F8" w:rsidRPr="00983DE0">
        <w:t>xamples</w:t>
      </w:r>
      <w:bookmarkEnd w:id="5"/>
      <w:r w:rsidR="005B5813">
        <w:t xml:space="preserve"> of development </w:t>
      </w:r>
      <w:r w:rsidR="000A5011">
        <w:t xml:space="preserve">and use </w:t>
      </w:r>
      <w:r w:rsidR="005B5813">
        <w:t>of service delivery indicators</w:t>
      </w:r>
    </w:p>
    <w:p w14:paraId="26483D78" w14:textId="4489A78F" w:rsidR="00C6543B" w:rsidRDefault="002302C1" w:rsidP="00983DE0">
      <w:r>
        <w:t xml:space="preserve">In </w:t>
      </w:r>
      <w:r w:rsidRPr="00983DE0">
        <w:rPr>
          <w:b/>
        </w:rPr>
        <w:t>Ghana</w:t>
      </w:r>
      <w:r>
        <w:t>, develop</w:t>
      </w:r>
      <w:r w:rsidR="00983DE0">
        <w:t xml:space="preserve">ment </w:t>
      </w:r>
      <w:r>
        <w:t>of service delivery indicators</w:t>
      </w:r>
      <w:r w:rsidR="00085325">
        <w:t xml:space="preserve"> </w:t>
      </w:r>
      <w:r>
        <w:t>has been led by the Community Water and Sanitation Agency (CWSA), the lead government agency responsible for rural and small town water supply in Ghana</w:t>
      </w:r>
      <w:r w:rsidR="00983DE0">
        <w:t>, under IRC’s Triple-S initiative</w:t>
      </w:r>
      <w:r>
        <w:t xml:space="preserve">. </w:t>
      </w:r>
      <w:r w:rsidR="00B158A8">
        <w:t xml:space="preserve">The service delivery indicators include service authority indicators and service level and service provider indicators for point sources and piped schemes.  </w:t>
      </w:r>
      <w:r w:rsidR="00983DE0" w:rsidRPr="00B70F94">
        <w:t>The</w:t>
      </w:r>
      <w:r w:rsidR="00B158A8">
        <w:t>y</w:t>
      </w:r>
      <w:r w:rsidR="00085325">
        <w:t xml:space="preserve"> </w:t>
      </w:r>
      <w:r w:rsidR="00DB0F5F">
        <w:t xml:space="preserve">were developed by CWSA’s Monitoring and Evacuation Committee, </w:t>
      </w:r>
      <w:r w:rsidR="00983DE0">
        <w:t>based on the national guidelines, manuals and model by-laws. In November 2010, the draft indicators were reviewed by the CWSA</w:t>
      </w:r>
      <w:r w:rsidR="00983DE0" w:rsidRPr="00B70F94">
        <w:t xml:space="preserve"> Technical Committee </w:t>
      </w:r>
      <w:r w:rsidR="00983DE0">
        <w:t xml:space="preserve">and the participants of </w:t>
      </w:r>
      <w:r w:rsidR="00983DE0" w:rsidRPr="00B70F94">
        <w:t>the National Level Learning Alliance Platform</w:t>
      </w:r>
      <w:r w:rsidR="00983DE0">
        <w:rPr>
          <w:rStyle w:val="FootnoteReference"/>
        </w:rPr>
        <w:footnoteReference w:id="3"/>
      </w:r>
      <w:r w:rsidR="006352CD">
        <w:t xml:space="preserve"> meeting</w:t>
      </w:r>
      <w:r w:rsidR="00983DE0">
        <w:t xml:space="preserve">, and subsequently refined. In order to facilitate scoring, surveys with ‘assessment questions’ were developed related to each indicator. </w:t>
      </w:r>
      <w:r w:rsidR="00A5292D">
        <w:t>Data on service levels was mainly acquired from service providers and observations by the data collectors (district level staff responsible for monitoring water services)</w:t>
      </w:r>
      <w:r w:rsidR="00C416E1" w:rsidRPr="00C416E1">
        <w:t xml:space="preserve"> </w:t>
      </w:r>
      <w:r w:rsidR="00C416E1">
        <w:t>(CWSA and IRC, 2012)</w:t>
      </w:r>
      <w:r w:rsidR="00A5292D">
        <w:t xml:space="preserve">. </w:t>
      </w:r>
    </w:p>
    <w:p w14:paraId="3AF0A650" w14:textId="1AA22A16" w:rsidR="00983DE0" w:rsidRDefault="00983DE0" w:rsidP="00983DE0">
      <w:r>
        <w:t>The</w:t>
      </w:r>
      <w:r w:rsidR="00C6543B">
        <w:t xml:space="preserve"> service delivery</w:t>
      </w:r>
      <w:r>
        <w:t xml:space="preserve"> indicators and scoring systems </w:t>
      </w:r>
      <w:proofErr w:type="gramStart"/>
      <w:r>
        <w:t>were</w:t>
      </w:r>
      <w:proofErr w:type="gramEnd"/>
      <w:r>
        <w:t xml:space="preserve"> field tested in 3 districts</w:t>
      </w:r>
      <w:r w:rsidR="006352CD">
        <w:t>, where all facilities, service providers and service authorities were mapped and assessed against the indicators</w:t>
      </w:r>
      <w:r w:rsidR="00C416E1">
        <w:t xml:space="preserve"> (Adank et al, 2013</w:t>
      </w:r>
      <w:r w:rsidR="003578BB">
        <w:t xml:space="preserve"> forthcoming</w:t>
      </w:r>
      <w:r w:rsidR="00C416E1">
        <w:t>)</w:t>
      </w:r>
      <w:r w:rsidR="006352CD">
        <w:t xml:space="preserve">. </w:t>
      </w:r>
      <w:r w:rsidR="00DB0F5F">
        <w:t xml:space="preserve">Although service authorities and service providers in these three pilot districts were found to be struggling meeting the benchmarks which had been set, on review of the baseline results, the M&amp;E Committee decided against lowering the benchmarks, but rather to advocate for more targeted support to service providers and authorities to ensure that they will meet the benchmarks in the future.  </w:t>
      </w:r>
    </w:p>
    <w:p w14:paraId="3D293037" w14:textId="4C3B5113" w:rsidR="009768AA" w:rsidRDefault="009768AA" w:rsidP="009768AA">
      <w:r>
        <w:t xml:space="preserve">Under the Triple-S initiative in </w:t>
      </w:r>
      <w:r w:rsidRPr="00720734">
        <w:rPr>
          <w:b/>
        </w:rPr>
        <w:t>Uganda</w:t>
      </w:r>
      <w:r>
        <w:t xml:space="preserve">, a similar set of service delivery indicators has been developed and tested. In addition to service level, service provider and service authority indicators, indicators </w:t>
      </w:r>
      <w:r w:rsidR="00093A14">
        <w:t>were also</w:t>
      </w:r>
      <w:r>
        <w:t xml:space="preserve"> developed and tested to assess and monitor user satisfaction with the (level of) services provided</w:t>
      </w:r>
      <w:r w:rsidR="00093A14" w:rsidRPr="00093A14">
        <w:t>, as well as users’ ownership</w:t>
      </w:r>
      <w:r w:rsidRPr="00093A14">
        <w:t>.</w:t>
      </w:r>
      <w:r>
        <w:t xml:space="preserve"> </w:t>
      </w:r>
      <w:r w:rsidR="005E4A67">
        <w:t xml:space="preserve">The indicators were tested in </w:t>
      </w:r>
      <w:r w:rsidR="00085325">
        <w:t xml:space="preserve">16 sub-counties in 8 districts in 2 regions. </w:t>
      </w:r>
      <w:r w:rsidR="00C236A0">
        <w:t>Data was collected from a sample of 103 service providers and 1434 households</w:t>
      </w:r>
      <w:r w:rsidR="00C416E1">
        <w:t xml:space="preserve"> (</w:t>
      </w:r>
      <w:r w:rsidR="00C416E1" w:rsidRPr="00C416E1">
        <w:t>Bey, Magara</w:t>
      </w:r>
      <w:r w:rsidR="00C416E1">
        <w:t xml:space="preserve"> and </w:t>
      </w:r>
      <w:r w:rsidR="00C416E1" w:rsidRPr="00C416E1">
        <w:t>Abisa</w:t>
      </w:r>
      <w:r w:rsidR="00C416E1">
        <w:t>, 2013</w:t>
      </w:r>
      <w:r w:rsidR="003578BB">
        <w:t xml:space="preserve"> forthcoming</w:t>
      </w:r>
      <w:r w:rsidR="00C416E1">
        <w:t>)</w:t>
      </w:r>
      <w:r w:rsidR="00C236A0">
        <w:t xml:space="preserve">. </w:t>
      </w:r>
    </w:p>
    <w:p w14:paraId="702B900F" w14:textId="5B9A5EFF" w:rsidR="003B79EF" w:rsidRDefault="003B79EF" w:rsidP="003B79EF">
      <w:r>
        <w:t xml:space="preserve">In </w:t>
      </w:r>
      <w:r w:rsidRPr="00720734">
        <w:rPr>
          <w:b/>
        </w:rPr>
        <w:t>Burkina Faso</w:t>
      </w:r>
      <w:r>
        <w:t xml:space="preserve">, service delivery indicators have been developed and tested under the Triple-S initiative as well. </w:t>
      </w:r>
      <w:r w:rsidR="009768AA">
        <w:t>Here, household surveys we</w:t>
      </w:r>
      <w:r w:rsidR="005E4A67">
        <w:t xml:space="preserve">re done as well to get a more accurate insight in the level of services provided and used. </w:t>
      </w:r>
      <w:r w:rsidR="00A5292D">
        <w:t xml:space="preserve"> </w:t>
      </w:r>
      <w:r w:rsidR="005E4A67">
        <w:t xml:space="preserve">In order to test the indicators, </w:t>
      </w:r>
      <w:r w:rsidR="005E4A67" w:rsidRPr="0008646E">
        <w:t xml:space="preserve">data was collected in </w:t>
      </w:r>
      <w:r w:rsidR="00F13F13">
        <w:t>eight</w:t>
      </w:r>
      <w:r w:rsidR="0008646E" w:rsidRPr="0008646E">
        <w:t xml:space="preserve"> </w:t>
      </w:r>
      <w:r w:rsidR="005E4A67" w:rsidRPr="0008646E">
        <w:t>communes</w:t>
      </w:r>
      <w:r w:rsidR="0008646E" w:rsidRPr="0008646E">
        <w:t xml:space="preserve"> in the Sahel Region</w:t>
      </w:r>
      <w:r w:rsidR="00C416E1">
        <w:t xml:space="preserve"> (IRC, 2013</w:t>
      </w:r>
      <w:r w:rsidR="003578BB">
        <w:t xml:space="preserve"> forthcoming</w:t>
      </w:r>
      <w:r w:rsidR="00C416E1">
        <w:t>)</w:t>
      </w:r>
      <w:r w:rsidR="005E4A67" w:rsidRPr="0008646E">
        <w:t>.</w:t>
      </w:r>
      <w:r w:rsidR="005E4A67">
        <w:t xml:space="preserve"> </w:t>
      </w:r>
    </w:p>
    <w:p w14:paraId="524286BC" w14:textId="2D819073" w:rsidR="003B79EF" w:rsidRDefault="003B79EF" w:rsidP="003B79EF">
      <w:r>
        <w:t xml:space="preserve">Both in Burkina </w:t>
      </w:r>
      <w:r w:rsidR="00A8216B">
        <w:t>Faso</w:t>
      </w:r>
      <w:r>
        <w:t xml:space="preserve"> as well as in Ghana, the development of the service level indicators built on the work done by </w:t>
      </w:r>
      <w:proofErr w:type="spellStart"/>
      <w:r>
        <w:t>WASHCost</w:t>
      </w:r>
      <w:proofErr w:type="spellEnd"/>
      <w:r>
        <w:t xml:space="preserve"> in both countries, under which data was collected and analysed on the level of service provided and the costs related to the provision of these services. </w:t>
      </w:r>
    </w:p>
    <w:p w14:paraId="5D37BABA" w14:textId="17BD4DC9" w:rsidR="00720734" w:rsidRDefault="00EB69C9" w:rsidP="005B5813">
      <w:pPr>
        <w:rPr>
          <w:rFonts w:ascii="Calibri" w:hAnsi="Calibri"/>
        </w:rPr>
      </w:pPr>
      <w:r>
        <w:lastRenderedPageBreak/>
        <w:t xml:space="preserve">Service delivery indicators have also been developed and used in order to study the impact of direct support on the performance of piped scheme service providers and the level of services provided in </w:t>
      </w:r>
      <w:r w:rsidRPr="00720734">
        <w:rPr>
          <w:b/>
        </w:rPr>
        <w:t>Columbia</w:t>
      </w:r>
      <w:r>
        <w:t xml:space="preserve">. The study focussed on a sample of </w:t>
      </w:r>
      <w:r w:rsidRPr="00EB69C9">
        <w:t xml:space="preserve">40 rural water systems, supported by 7 </w:t>
      </w:r>
      <w:r>
        <w:t>different</w:t>
      </w:r>
      <w:r w:rsidRPr="00EB69C9">
        <w:t xml:space="preserve"> support models</w:t>
      </w:r>
      <w:r>
        <w:t xml:space="preserve">. </w:t>
      </w:r>
      <w:r w:rsidR="00720734">
        <w:t xml:space="preserve">A similar set of indicators was developed </w:t>
      </w:r>
      <w:r w:rsidR="000A5011">
        <w:t xml:space="preserve">and used </w:t>
      </w:r>
      <w:r w:rsidR="00720734">
        <w:t xml:space="preserve">as part of the support of the </w:t>
      </w:r>
      <w:r w:rsidR="00720734" w:rsidRPr="00A419B1">
        <w:t>Inter-American Development Bank (IDB)</w:t>
      </w:r>
      <w:r w:rsidR="00720734">
        <w:t xml:space="preserve"> and </w:t>
      </w:r>
      <w:r w:rsidR="00720734" w:rsidRPr="00A419B1">
        <w:t>the Water and Sanitation Spanish Cooperation Fund for Latin America and the Caribbean (FECASALC)</w:t>
      </w:r>
      <w:r w:rsidR="00720734">
        <w:t xml:space="preserve"> </w:t>
      </w:r>
      <w:r w:rsidR="005B5813">
        <w:t>to</w:t>
      </w:r>
      <w:r w:rsidR="00720734" w:rsidRPr="00A419B1">
        <w:t xml:space="preserve"> the development of rural water and sanitation monitoring systems</w:t>
      </w:r>
      <w:r w:rsidR="005B5813">
        <w:t xml:space="preserve"> in </w:t>
      </w:r>
      <w:r w:rsidR="005B5813" w:rsidRPr="005B5813">
        <w:rPr>
          <w:b/>
        </w:rPr>
        <w:t>El Salvador, Honduras and Paraguay</w:t>
      </w:r>
      <w:r w:rsidR="00720734" w:rsidRPr="00A419B1">
        <w:t>.</w:t>
      </w:r>
      <w:r w:rsidR="005B5813">
        <w:t xml:space="preserve"> </w:t>
      </w:r>
      <w:r w:rsidR="00720734" w:rsidRPr="00A419B1">
        <w:t xml:space="preserve"> </w:t>
      </w:r>
      <w:r w:rsidR="000A5011">
        <w:t xml:space="preserve">In El Salvador, no indicators were </w:t>
      </w:r>
      <w:r w:rsidR="000A5011" w:rsidRPr="000A5011">
        <w:t xml:space="preserve">developed and used for the service authority functions, as </w:t>
      </w:r>
      <w:r w:rsidR="000A5011" w:rsidRPr="000A5011">
        <w:rPr>
          <w:rFonts w:ascii="Calibri" w:hAnsi="Calibri"/>
        </w:rPr>
        <w:t xml:space="preserve">the country is centralised with respect to WASH, </w:t>
      </w:r>
      <w:r w:rsidR="000A5011">
        <w:rPr>
          <w:rFonts w:ascii="Calibri" w:hAnsi="Calibri"/>
        </w:rPr>
        <w:t xml:space="preserve">with </w:t>
      </w:r>
      <w:r w:rsidR="000A5011" w:rsidRPr="000A5011">
        <w:rPr>
          <w:rFonts w:ascii="Calibri" w:hAnsi="Calibri"/>
        </w:rPr>
        <w:t xml:space="preserve">only on service authority: the national utility. </w:t>
      </w:r>
      <w:r w:rsidR="000A5011" w:rsidRPr="000A5011">
        <w:t xml:space="preserve">In Honduras, the existing indicator set from </w:t>
      </w:r>
      <w:r w:rsidR="000A5011" w:rsidRPr="000A5011">
        <w:rPr>
          <w:rFonts w:ascii="Calibri" w:hAnsi="Calibri"/>
        </w:rPr>
        <w:t>SIASAR was used, which was found to be very comparable with the service delivery indicator</w:t>
      </w:r>
      <w:r w:rsidR="000A5011">
        <w:rPr>
          <w:rFonts w:ascii="Calibri" w:hAnsi="Calibri"/>
        </w:rPr>
        <w:t xml:space="preserve"> set</w:t>
      </w:r>
      <w:r w:rsidR="000A5011" w:rsidRPr="000A5011">
        <w:rPr>
          <w:rFonts w:ascii="Calibri" w:hAnsi="Calibri"/>
        </w:rPr>
        <w:t xml:space="preserve">. </w:t>
      </w:r>
    </w:p>
    <w:p w14:paraId="3E036902" w14:textId="752ED481" w:rsidR="00472489" w:rsidRPr="00915D21" w:rsidRDefault="00C645D3" w:rsidP="00276212">
      <w:pPr>
        <w:pStyle w:val="Heading1"/>
      </w:pPr>
      <w:bookmarkStart w:id="6" w:name="_Toc351642761"/>
      <w:r w:rsidRPr="00915D21">
        <w:t>The use of service delivery indicators</w:t>
      </w:r>
      <w:bookmarkEnd w:id="6"/>
      <w:r w:rsidR="00276212">
        <w:t xml:space="preserve"> </w:t>
      </w:r>
    </w:p>
    <w:p w14:paraId="7591E7FF" w14:textId="77777777" w:rsidR="0000689B" w:rsidRDefault="00A65D04" w:rsidP="00954C30">
      <w:r w:rsidRPr="00915D21">
        <w:t>Assessing and monitoring levels of water services and presence and performance of water service providers and authorities, using service delivery indicators, can serve a number of purposes</w:t>
      </w:r>
      <w:r w:rsidR="0000689B">
        <w:t xml:space="preserve">: </w:t>
      </w:r>
    </w:p>
    <w:p w14:paraId="3FCABF66" w14:textId="4745D3F7" w:rsidR="0000689B" w:rsidRDefault="003578BB" w:rsidP="0000689B">
      <w:pPr>
        <w:pStyle w:val="ListParagraph"/>
        <w:numPr>
          <w:ilvl w:val="0"/>
          <w:numId w:val="12"/>
        </w:numPr>
      </w:pPr>
      <w:r>
        <w:t>T</w:t>
      </w:r>
      <w:r w:rsidR="0000689B">
        <w:t>o monitor progress and impact of (project) interventions;</w:t>
      </w:r>
    </w:p>
    <w:p w14:paraId="154FA19A" w14:textId="385CE18A" w:rsidR="009D3308" w:rsidRDefault="0000689B" w:rsidP="0000689B">
      <w:pPr>
        <w:pStyle w:val="ListParagraph"/>
        <w:numPr>
          <w:ilvl w:val="0"/>
          <w:numId w:val="12"/>
        </w:numPr>
      </w:pPr>
      <w:r>
        <w:t>To inform planning</w:t>
      </w:r>
      <w:r w:rsidR="00C92D3E">
        <w:t xml:space="preserve">, </w:t>
      </w:r>
      <w:r>
        <w:t xml:space="preserve">budgeting </w:t>
      </w:r>
      <w:r w:rsidR="00C92D3E">
        <w:t xml:space="preserve">and asset management </w:t>
      </w:r>
      <w:r>
        <w:t>at decentralised (district) level;</w:t>
      </w:r>
    </w:p>
    <w:p w14:paraId="0C628BBA" w14:textId="2BFDA902" w:rsidR="0000689B" w:rsidRDefault="0000689B" w:rsidP="0000689B">
      <w:pPr>
        <w:pStyle w:val="ListParagraph"/>
        <w:numPr>
          <w:ilvl w:val="0"/>
          <w:numId w:val="12"/>
        </w:numPr>
      </w:pPr>
      <w:r>
        <w:t xml:space="preserve">To inform </w:t>
      </w:r>
      <w:r w:rsidR="00C92D3E">
        <w:t xml:space="preserve">allocation of funds between different areas </w:t>
      </w:r>
      <w:r>
        <w:t>at national level;</w:t>
      </w:r>
    </w:p>
    <w:p w14:paraId="757D8776" w14:textId="4403A7B0" w:rsidR="0000689B" w:rsidRDefault="0000689B" w:rsidP="00C236A0">
      <w:pPr>
        <w:pStyle w:val="ListParagraph"/>
        <w:numPr>
          <w:ilvl w:val="0"/>
          <w:numId w:val="12"/>
        </w:numPr>
      </w:pPr>
      <w:r>
        <w:t xml:space="preserve">To inform </w:t>
      </w:r>
      <w:r w:rsidRPr="00915D21">
        <w:t>corrective measures at service provider and service authority level, which need to be undertaken in order to ensure sustainable water service provision</w:t>
      </w:r>
      <w:r>
        <w:t>;</w:t>
      </w:r>
    </w:p>
    <w:p w14:paraId="65422C4E" w14:textId="5CE1864B" w:rsidR="0000689B" w:rsidRDefault="0000689B" w:rsidP="00C236A0">
      <w:pPr>
        <w:pStyle w:val="ListParagraph"/>
        <w:numPr>
          <w:ilvl w:val="0"/>
          <w:numId w:val="12"/>
        </w:numPr>
      </w:pPr>
      <w:r>
        <w:t>To inform regulation of water services</w:t>
      </w:r>
      <w:r w:rsidRPr="00915D21">
        <w:t>, service providers and authorities</w:t>
      </w:r>
      <w:r w:rsidR="003578BB">
        <w:t>;</w:t>
      </w:r>
    </w:p>
    <w:p w14:paraId="49493B75" w14:textId="52E9C3BC" w:rsidR="0000689B" w:rsidRDefault="0000689B" w:rsidP="00C236A0">
      <w:pPr>
        <w:pStyle w:val="ListParagraph"/>
        <w:numPr>
          <w:ilvl w:val="0"/>
          <w:numId w:val="12"/>
        </w:numPr>
      </w:pPr>
      <w:r>
        <w:t>To inform policy dialogue and debate</w:t>
      </w:r>
      <w:r w:rsidR="003578BB">
        <w:t>.</w:t>
      </w:r>
    </w:p>
    <w:p w14:paraId="20C466FC" w14:textId="75CAA678" w:rsidR="006E1141" w:rsidRDefault="00B700B8" w:rsidP="00C236A0">
      <w:r>
        <w:t xml:space="preserve">Service delivery indicator scores can be compared between different units (facilities, service providers, service authorities) or aggregated scores can be compared between different areas. This is especially useful for informing effective and equitable planning and budgeting, corrective measures and regulation. </w:t>
      </w:r>
      <w:r w:rsidR="006E1141">
        <w:t xml:space="preserve">For example, in the three districts in Ghana where baseline data </w:t>
      </w:r>
      <w:r w:rsidR="0092036C">
        <w:t>were</w:t>
      </w:r>
      <w:r w:rsidR="006E1141">
        <w:t xml:space="preserve"> collected using service delivery indicators, the results informed Local Government to undertake corrective measures (including the repair of broken down facilities, the training of area </w:t>
      </w:r>
      <w:r w:rsidR="00276212">
        <w:t>mechanics</w:t>
      </w:r>
      <w:r w:rsidR="006E1141">
        <w:t xml:space="preserve">, the establishment and training of WATSAN Committees, where these had been found not to be in place, and </w:t>
      </w:r>
      <w:r w:rsidR="00276212">
        <w:t xml:space="preserve">the procurement of water quality sampling kits). Furthermore, the </w:t>
      </w:r>
      <w:r w:rsidR="006E1141">
        <w:t xml:space="preserve">data </w:t>
      </w:r>
      <w:r w:rsidR="00276212">
        <w:t xml:space="preserve">was used </w:t>
      </w:r>
      <w:r w:rsidR="006E1141">
        <w:t xml:space="preserve">to </w:t>
      </w:r>
      <w:r w:rsidR="00276212">
        <w:t xml:space="preserve">inform the </w:t>
      </w:r>
      <w:r w:rsidR="006E1141">
        <w:t>dev</w:t>
      </w:r>
      <w:r w:rsidR="00276212">
        <w:t xml:space="preserve">elopment of annual action plans. </w:t>
      </w:r>
    </w:p>
    <w:p w14:paraId="231B1592" w14:textId="2D5D809A" w:rsidR="00276212" w:rsidRDefault="009D3308" w:rsidP="00C236A0">
      <w:r>
        <w:t>T</w:t>
      </w:r>
      <w:r w:rsidR="00954C30" w:rsidRPr="00915D21">
        <w:t>o monitor progress and impact of (project) interventions</w:t>
      </w:r>
      <w:r w:rsidR="00B30F46">
        <w:t>,</w:t>
      </w:r>
      <w:r>
        <w:t xml:space="preserve"> s</w:t>
      </w:r>
      <w:r w:rsidRPr="00915D21">
        <w:t xml:space="preserve">ervice delivery indicator scores </w:t>
      </w:r>
      <w:r w:rsidR="00B30F46">
        <w:t xml:space="preserve">of the same units or </w:t>
      </w:r>
      <w:proofErr w:type="gramStart"/>
      <w:r w:rsidR="00B30F46">
        <w:t>areas,</w:t>
      </w:r>
      <w:proofErr w:type="gramEnd"/>
      <w:r w:rsidR="00B30F46">
        <w:t xml:space="preserve"> </w:t>
      </w:r>
      <w:r w:rsidRPr="00915D21">
        <w:t>can be compared over time</w:t>
      </w:r>
      <w:r w:rsidR="00954C30" w:rsidRPr="00915D21">
        <w:t>.</w:t>
      </w:r>
      <w:r w:rsidR="00276212">
        <w:t xml:space="preserve"> This allows for accountability towards financiers of interventions. </w:t>
      </w:r>
    </w:p>
    <w:p w14:paraId="23E039BC" w14:textId="0A1FC646" w:rsidR="00954C30" w:rsidRDefault="0098427D" w:rsidP="00C236A0">
      <w:r w:rsidRPr="00915D21">
        <w:t xml:space="preserve">Results from assessments and monitoring using service delivery indicators can </w:t>
      </w:r>
      <w:r w:rsidR="006E1141">
        <w:t xml:space="preserve">also </w:t>
      </w:r>
      <w:r w:rsidRPr="00915D21">
        <w:t xml:space="preserve">provide useful input into policy dialogue and debate. Differences in scores between different service delivery models can for example facilitate well-informed debates on the preferred service delivery models and the areas in which certain service delivery models need to be strengthened. </w:t>
      </w:r>
      <w:r w:rsidR="00B30F46">
        <w:t>Analysing correlations between the scores on the different indicator sets, can inform discussions on what elements are most important in order for the provision of sustainable water services.</w:t>
      </w:r>
      <w:r w:rsidR="00B30F46" w:rsidRPr="0092036C">
        <w:t xml:space="preserve"> </w:t>
      </w:r>
      <w:r w:rsidR="0092036C" w:rsidRPr="0092036C">
        <w:t xml:space="preserve">The use of service delivery indicators in Ghana showed for example no correlation between the reliability of </w:t>
      </w:r>
      <w:r w:rsidR="0092036C" w:rsidRPr="0092036C">
        <w:lastRenderedPageBreak/>
        <w:t>services and the presence of a WATSAN Committee, but did show that facilities managed by WATSANs scoring high on the service provider indicators, were more likely to provide reliable services than low scoring WATSANs.</w:t>
      </w:r>
      <w:r w:rsidR="0092036C" w:rsidRPr="003578BB">
        <w:rPr>
          <w:sz w:val="18"/>
          <w:szCs w:val="16"/>
          <w:lang w:val="en-US"/>
        </w:rPr>
        <w:t xml:space="preserve"> </w:t>
      </w:r>
      <w:r w:rsidRPr="00915D21">
        <w:t xml:space="preserve"> </w:t>
      </w:r>
    </w:p>
    <w:p w14:paraId="6C13AA20" w14:textId="7067C302" w:rsidR="000D53C5" w:rsidRPr="00915D21" w:rsidRDefault="000D53C5" w:rsidP="000D53C5">
      <w:r w:rsidRPr="00915D21">
        <w:t xml:space="preserve">In order to compare service provider or indicator scores between different areas, average scores can be determined per indicator (set). Alternatively, the proportion of service providers meeting the benchmark on </w:t>
      </w:r>
      <w:proofErr w:type="gramStart"/>
      <w:r w:rsidRPr="00915D21">
        <w:t>a(</w:t>
      </w:r>
      <w:proofErr w:type="gramEnd"/>
      <w:r w:rsidRPr="00915D21">
        <w:t xml:space="preserve">n) indicator (set) can be established. Benchmarking is more useful for informing regulation and corrective actions, while </w:t>
      </w:r>
      <w:r w:rsidR="00345649" w:rsidRPr="00915D21">
        <w:t>average scores are more useful for more in-depth analysis into correlations between scores on different indicator sets(s), in order to inform polic</w:t>
      </w:r>
      <w:r w:rsidRPr="00915D21">
        <w:t>y debate</w:t>
      </w:r>
      <w:r w:rsidR="00345649" w:rsidRPr="00915D21">
        <w:t xml:space="preserve">. The figure below shown different ways in which the same service provider data can be presented. </w:t>
      </w:r>
    </w:p>
    <w:p w14:paraId="49727CBE" w14:textId="047D8A50" w:rsidR="00345649" w:rsidRDefault="0092036C" w:rsidP="00345649">
      <w:pPr>
        <w:pStyle w:val="Caption"/>
      </w:pPr>
      <w:r w:rsidRPr="00915D21">
        <w:rPr>
          <w:noProof/>
          <w:lang w:eastAsia="en-GB"/>
        </w:rPr>
        <w:drawing>
          <wp:anchor distT="0" distB="0" distL="114300" distR="114300" simplePos="0" relativeHeight="251663360" behindDoc="0" locked="0" layoutInCell="1" allowOverlap="1" wp14:anchorId="056B1A52" wp14:editId="5F2FC5CD">
            <wp:simplePos x="0" y="0"/>
            <wp:positionH relativeFrom="column">
              <wp:posOffset>-478790</wp:posOffset>
            </wp:positionH>
            <wp:positionV relativeFrom="paragraph">
              <wp:posOffset>646430</wp:posOffset>
            </wp:positionV>
            <wp:extent cx="7101205" cy="5178425"/>
            <wp:effectExtent l="19050" t="19050" r="23495" b="222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1205" cy="51784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45649" w:rsidRPr="00915D21">
        <w:t xml:space="preserve">Figure </w:t>
      </w:r>
      <w:r w:rsidR="005B3977">
        <w:fldChar w:fldCharType="begin"/>
      </w:r>
      <w:r w:rsidR="005B3977">
        <w:instrText xml:space="preserve"> SEQ Figure \* ARABIC </w:instrText>
      </w:r>
      <w:r w:rsidR="005B3977">
        <w:fldChar w:fldCharType="separate"/>
      </w:r>
      <w:r w:rsidR="009545D4">
        <w:rPr>
          <w:noProof/>
        </w:rPr>
        <w:t>3</w:t>
      </w:r>
      <w:r w:rsidR="005B3977">
        <w:rPr>
          <w:noProof/>
        </w:rPr>
        <w:fldChar w:fldCharType="end"/>
      </w:r>
      <w:r w:rsidR="00345649" w:rsidRPr="00915D21">
        <w:t>: Service provider scores from 3 districts in Ghana (top: proportion of service providers meeting the benchmark per district; Middle: average score per indicator set per district; Bottom: Proportion of service providers meeting one, two or three governance indicators per district</w:t>
      </w:r>
    </w:p>
    <w:p w14:paraId="51F3FD20" w14:textId="49920D4E" w:rsidR="00345649" w:rsidRPr="00915D21" w:rsidRDefault="00345649" w:rsidP="00954C30">
      <w:r w:rsidRPr="00915D21">
        <w:t xml:space="preserve">Source: Adank et al, </w:t>
      </w:r>
      <w:r w:rsidR="001749AC">
        <w:t xml:space="preserve">2013, </w:t>
      </w:r>
      <w:r w:rsidRPr="00915D21">
        <w:t>forthcoming</w:t>
      </w:r>
    </w:p>
    <w:p w14:paraId="44745326" w14:textId="77777777" w:rsidR="00C41280" w:rsidRDefault="00C41280" w:rsidP="00276212">
      <w:pPr>
        <w:pStyle w:val="Heading1"/>
      </w:pPr>
    </w:p>
    <w:p w14:paraId="3DA6B112" w14:textId="77777777" w:rsidR="00C41280" w:rsidRDefault="00C41280" w:rsidP="00276212">
      <w:pPr>
        <w:pStyle w:val="Heading1"/>
      </w:pPr>
    </w:p>
    <w:p w14:paraId="0A84FDBF" w14:textId="45521084" w:rsidR="000F00CB" w:rsidRDefault="0092036C" w:rsidP="00276212">
      <w:pPr>
        <w:pStyle w:val="Heading1"/>
      </w:pPr>
      <w:r>
        <w:lastRenderedPageBreak/>
        <w:t xml:space="preserve">Mainstreaming </w:t>
      </w:r>
      <w:r w:rsidR="000F00CB">
        <w:t xml:space="preserve">service delivery indicators </w:t>
      </w:r>
    </w:p>
    <w:p w14:paraId="5053D62A" w14:textId="20C68461" w:rsidR="000F00CB" w:rsidRDefault="000F00CB" w:rsidP="000F00CB">
      <w:r>
        <w:rPr>
          <w:rFonts w:ascii="Calibri" w:hAnsi="Calibri"/>
        </w:rPr>
        <w:t>The development and use of service delivery indicators in these countries has been a relatively new phenomenon</w:t>
      </w:r>
      <w:r w:rsidR="000D5B88">
        <w:rPr>
          <w:rFonts w:ascii="Calibri" w:hAnsi="Calibri"/>
        </w:rPr>
        <w:t xml:space="preserve"> and is generally still in the testing phase</w:t>
      </w:r>
      <w:r>
        <w:rPr>
          <w:rFonts w:ascii="Calibri" w:hAnsi="Calibri"/>
        </w:rPr>
        <w:t xml:space="preserve">. Therefore, it is difficult to </w:t>
      </w:r>
      <w:r w:rsidR="0092036C">
        <w:rPr>
          <w:rFonts w:ascii="Calibri" w:hAnsi="Calibri"/>
        </w:rPr>
        <w:t xml:space="preserve">make conclusive statements about the mainstreaming of </w:t>
      </w:r>
      <w:r>
        <w:rPr>
          <w:rFonts w:ascii="Calibri" w:hAnsi="Calibri"/>
        </w:rPr>
        <w:t xml:space="preserve">these indicators </w:t>
      </w:r>
      <w:r w:rsidR="000D5B88">
        <w:rPr>
          <w:rFonts w:ascii="Calibri" w:hAnsi="Calibri"/>
        </w:rPr>
        <w:t>into</w:t>
      </w:r>
      <w:r>
        <w:rPr>
          <w:rFonts w:ascii="Calibri" w:hAnsi="Calibri"/>
        </w:rPr>
        <w:t xml:space="preserve"> national and decentralised </w:t>
      </w:r>
      <w:r w:rsidR="000D5B88">
        <w:rPr>
          <w:rFonts w:ascii="Calibri" w:hAnsi="Calibri"/>
        </w:rPr>
        <w:t>monitoring systems and practices, at thi</w:t>
      </w:r>
      <w:r>
        <w:rPr>
          <w:rFonts w:ascii="Calibri" w:hAnsi="Calibri"/>
        </w:rPr>
        <w:t xml:space="preserve">s point in time. However, as indicators have as much as possible been based on national standards, norms and guidelines, as set by government, interest of national government has been very high. This is especially the case in countries which did not have a set of ‘golden indicators’ yet, like Ghana and Burkina Faso. In Ghana, </w:t>
      </w:r>
      <w:proofErr w:type="spellStart"/>
      <w:proofErr w:type="gramStart"/>
      <w:r>
        <w:rPr>
          <w:rFonts w:ascii="Calibri" w:hAnsi="Calibri"/>
        </w:rPr>
        <w:t>Unicef</w:t>
      </w:r>
      <w:proofErr w:type="spellEnd"/>
      <w:proofErr w:type="gramEnd"/>
      <w:r>
        <w:rPr>
          <w:rFonts w:ascii="Calibri" w:hAnsi="Calibri"/>
        </w:rPr>
        <w:t xml:space="preserve">, in collaboration with the regional Community Water and Sanitation Agency, has used the indicators for baseline data collection in ten districts, while the Community Water and Sanitation Agency would like to upscale the use of service delivery indicators nation-wide. At district level, local government </w:t>
      </w:r>
      <w:r w:rsidR="00D30236">
        <w:rPr>
          <w:rFonts w:ascii="Calibri" w:hAnsi="Calibri"/>
        </w:rPr>
        <w:t xml:space="preserve">found the service delivery indicators useful for providing them with information for informing planning and corrective actions, as described above. One district </w:t>
      </w:r>
      <w:r w:rsidR="00BC29AD">
        <w:rPr>
          <w:rFonts w:ascii="Calibri" w:hAnsi="Calibri"/>
        </w:rPr>
        <w:t xml:space="preserve">in Ghana </w:t>
      </w:r>
      <w:r w:rsidR="00D30236">
        <w:rPr>
          <w:rFonts w:ascii="Calibri" w:hAnsi="Calibri"/>
        </w:rPr>
        <w:t xml:space="preserve">has, on its own initiative, </w:t>
      </w:r>
      <w:r w:rsidR="00533ADC">
        <w:rPr>
          <w:rFonts w:ascii="Calibri" w:hAnsi="Calibri"/>
        </w:rPr>
        <w:t xml:space="preserve">used the (service level) indicators to do a repeat data collection, in order to monitor changes in service levels over time. </w:t>
      </w:r>
      <w:r>
        <w:rPr>
          <w:rFonts w:ascii="Calibri" w:hAnsi="Calibri"/>
        </w:rPr>
        <w:t xml:space="preserve"> </w:t>
      </w:r>
    </w:p>
    <w:p w14:paraId="4E76E4D9" w14:textId="41959A91" w:rsidR="009E3E84" w:rsidRPr="00915D21" w:rsidRDefault="00533ADC" w:rsidP="00D04E1F">
      <w:r>
        <w:t>However, the</w:t>
      </w:r>
      <w:r w:rsidR="00D04E1F" w:rsidRPr="00915D21">
        <w:t xml:space="preserve"> use of service delivery indicators impl</w:t>
      </w:r>
      <w:r w:rsidR="006352CD">
        <w:t>ies</w:t>
      </w:r>
      <w:r w:rsidR="00D04E1F" w:rsidRPr="00915D21">
        <w:t xml:space="preserve"> that data needs to be collected beyond the traditional coverage and possibly functionality data. The collection of </w:t>
      </w:r>
      <w:r w:rsidR="00ED1E87">
        <w:t>additional</w:t>
      </w:r>
      <w:r w:rsidR="00D04E1F" w:rsidRPr="00915D21">
        <w:t xml:space="preserve"> data comes with extra costs. In Ghana, data collection for the use of service delivery indicators was estimated to amount to about </w:t>
      </w:r>
      <w:r w:rsidR="00B83E46" w:rsidRPr="00915D21">
        <w:t>0.</w:t>
      </w:r>
      <w:r w:rsidR="00D04E1F" w:rsidRPr="00915D21">
        <w:t xml:space="preserve">50 </w:t>
      </w:r>
      <w:r w:rsidR="00B83E46" w:rsidRPr="00915D21">
        <w:t>US$ / capita</w:t>
      </w:r>
      <w:r w:rsidR="00D04E1F" w:rsidRPr="00915D21">
        <w:t>. In El Salvador, b</w:t>
      </w:r>
      <w:r w:rsidR="00B83E46" w:rsidRPr="00915D21">
        <w:t>aseline</w:t>
      </w:r>
      <w:r w:rsidR="00D04E1F" w:rsidRPr="00915D21">
        <w:t xml:space="preserve"> data collection was estimated to cost about</w:t>
      </w:r>
      <w:r w:rsidR="00B83E46" w:rsidRPr="00915D21">
        <w:t xml:space="preserve"> 0.30 US$ / capita</w:t>
      </w:r>
      <w:r w:rsidR="00D04E1F" w:rsidRPr="00915D21">
        <w:t>, while r</w:t>
      </w:r>
      <w:r w:rsidR="00B83E46" w:rsidRPr="00915D21">
        <w:t>epeat data collection</w:t>
      </w:r>
      <w:r w:rsidR="00D04E1F" w:rsidRPr="00915D21">
        <w:t xml:space="preserve"> was estimated to amount to about </w:t>
      </w:r>
      <w:r w:rsidR="00B83E46" w:rsidRPr="00915D21">
        <w:t>0.10 US$ / capita</w:t>
      </w:r>
      <w:r w:rsidR="00D04E1F" w:rsidRPr="00915D21">
        <w:t xml:space="preserve"> (</w:t>
      </w:r>
      <w:r w:rsidR="007B7394">
        <w:t>Smits et al, 2013, forthcoming</w:t>
      </w:r>
      <w:r w:rsidR="00D04E1F" w:rsidRPr="00915D21">
        <w:t xml:space="preserve">). It should be noted that these costs do not include salary costs and are mainly related to </w:t>
      </w:r>
      <w:r w:rsidR="00B83E46" w:rsidRPr="00915D21">
        <w:t xml:space="preserve">logistics (fuel, per </w:t>
      </w:r>
      <w:proofErr w:type="gramStart"/>
      <w:r w:rsidR="00B83E46" w:rsidRPr="00915D21">
        <w:t>diem</w:t>
      </w:r>
      <w:proofErr w:type="gramEnd"/>
      <w:r w:rsidR="00B83E46" w:rsidRPr="00915D21">
        <w:t>)</w:t>
      </w:r>
      <w:r w:rsidR="00D04E1F" w:rsidRPr="00915D21">
        <w:t xml:space="preserve"> required for data collection. </w:t>
      </w:r>
    </w:p>
    <w:p w14:paraId="423632F9" w14:textId="1145127D" w:rsidR="009E3E84" w:rsidRPr="00915D21" w:rsidRDefault="00C90573" w:rsidP="00D04E1F">
      <w:r>
        <w:t xml:space="preserve">The costs involved also depend on the number of units that are to be assessed and monitored. The need to assess and monitor all units in a certain area, or to sample a number of units, depends on purpose of the monitoring and the required level of accuracy. </w:t>
      </w:r>
      <w:r w:rsidRPr="00915D21">
        <w:t xml:space="preserve">The use of service delivery indicators with the main purpose of stimulating and informing policy </w:t>
      </w:r>
      <w:proofErr w:type="gramStart"/>
      <w:r w:rsidRPr="00915D21">
        <w:t>debate,</w:t>
      </w:r>
      <w:proofErr w:type="gramEnd"/>
      <w:r w:rsidRPr="00915D21">
        <w:t xml:space="preserve"> does not require the collection of data from all units (facilities, service providers, service authorities). </w:t>
      </w:r>
      <w:r>
        <w:t xml:space="preserve">For this, having a representative sample can suffice.  The same is true for national level allocation of funds and regulation. For </w:t>
      </w:r>
      <w:r w:rsidRPr="00915D21">
        <w:t xml:space="preserve">informing planning, budgeting, </w:t>
      </w:r>
      <w:r>
        <w:t xml:space="preserve">asset management and </w:t>
      </w:r>
      <w:r w:rsidRPr="00915D21">
        <w:t>taking corrective actions</w:t>
      </w:r>
      <w:r>
        <w:t xml:space="preserve"> at decentralised level, ideally all units (water facilities, service providers, service authorities) should be assessed and monitored. </w:t>
      </w:r>
      <w:r w:rsidR="00D04E1F" w:rsidRPr="00915D21">
        <w:t xml:space="preserve">It is important to strike the right balance in </w:t>
      </w:r>
      <w:r w:rsidR="00BC29AD">
        <w:t xml:space="preserve">the required </w:t>
      </w:r>
      <w:r w:rsidR="00B83E46" w:rsidRPr="00915D21">
        <w:t>accuracy</w:t>
      </w:r>
      <w:r w:rsidR="00D04E1F" w:rsidRPr="00915D21">
        <w:t xml:space="preserve"> of data and the </w:t>
      </w:r>
      <w:r w:rsidR="00B83E46" w:rsidRPr="00915D21">
        <w:t>costs of data collection</w:t>
      </w:r>
      <w:r w:rsidR="00D04E1F" w:rsidRPr="00915D21">
        <w:t xml:space="preserve"> needed in order to achieve </w:t>
      </w:r>
      <w:r w:rsidR="00BC29AD">
        <w:t xml:space="preserve">this </w:t>
      </w:r>
      <w:r w:rsidR="00D04E1F" w:rsidRPr="00915D21">
        <w:t xml:space="preserve">level of accuracy. </w:t>
      </w:r>
    </w:p>
    <w:p w14:paraId="344E41A4" w14:textId="6C25688F" w:rsidR="00490AE5" w:rsidRPr="00915D21" w:rsidRDefault="00C645D3" w:rsidP="00276212">
      <w:pPr>
        <w:pStyle w:val="Heading1"/>
      </w:pPr>
      <w:bookmarkStart w:id="7" w:name="_Toc351642763"/>
      <w:r w:rsidRPr="00915D21">
        <w:t>Conclusions</w:t>
      </w:r>
      <w:bookmarkEnd w:id="7"/>
    </w:p>
    <w:p w14:paraId="3938F97C" w14:textId="01BF7B71" w:rsidR="00C645D3" w:rsidRPr="00915D21" w:rsidRDefault="00C645D3" w:rsidP="00490AE5">
      <w:r w:rsidRPr="00915D21">
        <w:t xml:space="preserve">With increasing levels of coverage and increasing challenges with sustainable water service provision, counting schemes is not enough. Neither is counting functioning and </w:t>
      </w:r>
      <w:r w:rsidR="00345649" w:rsidRPr="00915D21">
        <w:t>non-functioning</w:t>
      </w:r>
      <w:r w:rsidRPr="00915D21">
        <w:t xml:space="preserve"> schemes. There is a need to assess and monitor service levels, as well as the conditions that should be in place in order to sustain </w:t>
      </w:r>
      <w:r w:rsidR="008755BD">
        <w:t xml:space="preserve">and </w:t>
      </w:r>
      <w:r w:rsidRPr="00915D21">
        <w:t>improv</w:t>
      </w:r>
      <w:r w:rsidR="008755BD">
        <w:t>e</w:t>
      </w:r>
      <w:r w:rsidRPr="00915D21">
        <w:t xml:space="preserve"> these service levels. </w:t>
      </w:r>
    </w:p>
    <w:p w14:paraId="59C7D9C5" w14:textId="666AF037" w:rsidR="00490AE5" w:rsidRPr="00915D21" w:rsidRDefault="00472489" w:rsidP="00490AE5">
      <w:r w:rsidRPr="00915D21">
        <w:t>Together,</w:t>
      </w:r>
      <w:r w:rsidR="00490AE5" w:rsidRPr="00915D21">
        <w:t xml:space="preserve"> the</w:t>
      </w:r>
      <w:r w:rsidR="008755BD">
        <w:t xml:space="preserve"> service delivery</w:t>
      </w:r>
      <w:r w:rsidR="007D1BD1">
        <w:t xml:space="preserve"> </w:t>
      </w:r>
      <w:r w:rsidR="00490AE5" w:rsidRPr="00915D21">
        <w:t>indicators provide a comprehensive picture of service delivery</w:t>
      </w:r>
      <w:r w:rsidR="00BB4187">
        <w:t xml:space="preserve"> which</w:t>
      </w:r>
      <w:r w:rsidR="00490AE5" w:rsidRPr="00915D21">
        <w:t xml:space="preserve"> goes beyond </w:t>
      </w:r>
      <w:r w:rsidR="007D1BD1">
        <w:t>the traditional coverage and functionality indicators.</w:t>
      </w:r>
      <w:r w:rsidR="00490AE5" w:rsidRPr="00915D21">
        <w:t xml:space="preserve"> Its main added value lies in the potential for monitoring water services, informing direct support to service providers and capacity </w:t>
      </w:r>
      <w:r w:rsidR="00490AE5" w:rsidRPr="00915D21">
        <w:lastRenderedPageBreak/>
        <w:t xml:space="preserve">support to service authorities. It has also the potential to stimulate and facilitate better regulation of rural services. Finally, findings from the use of service delivery indicators, inform sector discussions on how to do things better (single-loop learning) and differently, where needed (double loop learning). </w:t>
      </w:r>
    </w:p>
    <w:p w14:paraId="62FA3E98" w14:textId="77777777" w:rsidR="00490AE5" w:rsidRPr="00915D21" w:rsidRDefault="00490AE5" w:rsidP="00490AE5">
      <w:r w:rsidRPr="00915D21">
        <w:t xml:space="preserve">One of the critical drawbacks of the service delivery indicators is that they represent a bigger set of data to be collected and hence may increase costs. However, the costs of collecting and analysing service delivery indicators are an essential investment in efforts to improve service delivery. </w:t>
      </w:r>
    </w:p>
    <w:p w14:paraId="354039DE" w14:textId="77777777" w:rsidR="004F001D" w:rsidRPr="00915D21" w:rsidRDefault="004F001D" w:rsidP="00276212">
      <w:pPr>
        <w:pStyle w:val="Heading1"/>
      </w:pPr>
      <w:bookmarkStart w:id="8" w:name="_Toc351642764"/>
      <w:r w:rsidRPr="00915D21">
        <w:t>References</w:t>
      </w:r>
      <w:bookmarkEnd w:id="8"/>
    </w:p>
    <w:p w14:paraId="7BF8BBA8" w14:textId="3C431E9D" w:rsidR="001749AC" w:rsidRDefault="001749AC" w:rsidP="001749AC">
      <w:pPr>
        <w:spacing w:before="240" w:after="240"/>
      </w:pPr>
      <w:r>
        <w:t>Adank, M., Kumasi, T., Abbey,</w:t>
      </w:r>
      <w:r w:rsidR="00C416E1">
        <w:t xml:space="preserve"> </w:t>
      </w:r>
      <w:r>
        <w:t xml:space="preserve">E., Dickinson, N., </w:t>
      </w:r>
      <w:proofErr w:type="spellStart"/>
      <w:r>
        <w:t>Dzansi</w:t>
      </w:r>
      <w:proofErr w:type="spellEnd"/>
      <w:r>
        <w:t xml:space="preserve">, P., Atengdem, J., </w:t>
      </w:r>
      <w:proofErr w:type="spellStart"/>
      <w:r>
        <w:t>Chimbar</w:t>
      </w:r>
      <w:proofErr w:type="spellEnd"/>
      <w:r>
        <w:t xml:space="preserve">, T. </w:t>
      </w:r>
      <w:proofErr w:type="gramStart"/>
      <w:r>
        <w:t xml:space="preserve">and  </w:t>
      </w:r>
      <w:proofErr w:type="spellStart"/>
      <w:r>
        <w:t>Effah</w:t>
      </w:r>
      <w:proofErr w:type="spellEnd"/>
      <w:proofErr w:type="gramEnd"/>
      <w:r>
        <w:t>-Appiah, E., 2013, forthcoming. The status of rural water supply services in Ghana, A synthesis of findings from 3 districts. Accra: IRC Ghana</w:t>
      </w:r>
    </w:p>
    <w:p w14:paraId="5B758878" w14:textId="77777777" w:rsidR="00996682" w:rsidRDefault="00996682" w:rsidP="00996682">
      <w:pPr>
        <w:spacing w:before="240" w:after="240"/>
      </w:pPr>
      <w:proofErr w:type="gramStart"/>
      <w:r>
        <w:t>Bey, V., Magara, P., Abisa, J., 2013, forthcoming.</w:t>
      </w:r>
      <w:proofErr w:type="gramEnd"/>
      <w:r>
        <w:t xml:space="preserve"> Performance Analysis of Service Delivery Models in Uganda, Research report for the Water User Committee (WUC) model for point sources</w:t>
      </w:r>
      <w:r w:rsidR="00FE0190">
        <w:t>. Kampala: IRC International Water and Sanitation Centre</w:t>
      </w:r>
    </w:p>
    <w:p w14:paraId="10441D36" w14:textId="77777777" w:rsidR="001749AC" w:rsidRDefault="001749AC" w:rsidP="001749AC">
      <w:pPr>
        <w:spacing w:before="240" w:after="240"/>
      </w:pPr>
      <w:proofErr w:type="gramStart"/>
      <w:r>
        <w:t>CWSA-Community Water and Sanitation Centre and IRC International Water and Sanitation Centre, 2012.</w:t>
      </w:r>
      <w:proofErr w:type="gramEnd"/>
      <w:r>
        <w:t xml:space="preserve"> Draft </w:t>
      </w:r>
      <w:r w:rsidRPr="001749AC">
        <w:t>Indicators for assessing and monitoring rural water supply services in Ghana</w:t>
      </w:r>
      <w:r>
        <w:t>. Available at &lt;</w:t>
      </w:r>
      <w:hyperlink r:id="rId12" w:history="1">
        <w:r w:rsidRPr="008D299E">
          <w:rPr>
            <w:rStyle w:val="Hyperlink"/>
            <w:rFonts w:cstheme="minorHAnsi"/>
            <w:lang w:val="en-US"/>
          </w:rPr>
          <w:t>http://www.waterservicesthatlast.org/Media/Files/draft_indicators_for_evaluating_sustainable_rural_water_services_in_ghana</w:t>
        </w:r>
      </w:hyperlink>
      <w:r>
        <w:rPr>
          <w:rStyle w:val="Hyperlink"/>
          <w:rFonts w:cstheme="minorHAnsi"/>
          <w:lang w:val="en-US"/>
        </w:rPr>
        <w:t xml:space="preserve">&gt; </w:t>
      </w:r>
    </w:p>
    <w:p w14:paraId="0EB3BBFB" w14:textId="524C069C" w:rsidR="00C416E1" w:rsidRDefault="00C416E1" w:rsidP="00C416E1">
      <w:pPr>
        <w:spacing w:before="240" w:after="240"/>
        <w:rPr>
          <w:color w:val="000000"/>
        </w:rPr>
      </w:pPr>
      <w:proofErr w:type="gramStart"/>
      <w:r>
        <w:rPr>
          <w:color w:val="000000"/>
        </w:rPr>
        <w:t>IRC, 2013.</w:t>
      </w:r>
      <w:proofErr w:type="gramEnd"/>
      <w:r>
        <w:rPr>
          <w:color w:val="000000"/>
        </w:rPr>
        <w:t xml:space="preserve"> </w:t>
      </w:r>
      <w:r w:rsidRPr="00C416E1">
        <w:rPr>
          <w:color w:val="000000"/>
        </w:rPr>
        <w:t xml:space="preserve">Organisation </w:t>
      </w:r>
      <w:proofErr w:type="gramStart"/>
      <w:r w:rsidRPr="00C416E1">
        <w:rPr>
          <w:color w:val="000000"/>
        </w:rPr>
        <w:t>et</w:t>
      </w:r>
      <w:proofErr w:type="gramEnd"/>
      <w:r w:rsidRPr="00C416E1">
        <w:rPr>
          <w:color w:val="000000"/>
        </w:rPr>
        <w:t xml:space="preserve"> </w:t>
      </w:r>
      <w:proofErr w:type="spellStart"/>
      <w:r w:rsidRPr="00C416E1">
        <w:rPr>
          <w:color w:val="000000"/>
        </w:rPr>
        <w:t>gestion</w:t>
      </w:r>
      <w:proofErr w:type="spellEnd"/>
      <w:r w:rsidRPr="00C416E1">
        <w:rPr>
          <w:color w:val="000000"/>
        </w:rPr>
        <w:t xml:space="preserve"> des services </w:t>
      </w:r>
      <w:proofErr w:type="spellStart"/>
      <w:r w:rsidRPr="00C416E1">
        <w:rPr>
          <w:color w:val="000000"/>
        </w:rPr>
        <w:t>d’eau</w:t>
      </w:r>
      <w:proofErr w:type="spellEnd"/>
      <w:r w:rsidRPr="00C416E1">
        <w:rPr>
          <w:color w:val="000000"/>
        </w:rPr>
        <w:t xml:space="preserve"> potable en</w:t>
      </w:r>
      <w:r>
        <w:rPr>
          <w:color w:val="000000"/>
        </w:rPr>
        <w:t xml:space="preserve"> </w:t>
      </w:r>
      <w:r w:rsidRPr="00C416E1">
        <w:rPr>
          <w:color w:val="000000"/>
        </w:rPr>
        <w:t>milieu</w:t>
      </w:r>
      <w:r>
        <w:rPr>
          <w:color w:val="000000"/>
        </w:rPr>
        <w:t xml:space="preserve"> </w:t>
      </w:r>
      <w:r w:rsidRPr="00C416E1">
        <w:rPr>
          <w:color w:val="000000"/>
        </w:rPr>
        <w:t>rural au Burkina Faso</w:t>
      </w:r>
      <w:r>
        <w:rPr>
          <w:color w:val="000000"/>
        </w:rPr>
        <w:t xml:space="preserve">. </w:t>
      </w:r>
      <w:proofErr w:type="spellStart"/>
      <w:r w:rsidRPr="00C416E1">
        <w:rPr>
          <w:color w:val="000000"/>
        </w:rPr>
        <w:t>Etat</w:t>
      </w:r>
      <w:proofErr w:type="spellEnd"/>
      <w:r w:rsidRPr="00C416E1">
        <w:rPr>
          <w:color w:val="000000"/>
        </w:rPr>
        <w:t xml:space="preserve"> des </w:t>
      </w:r>
      <w:proofErr w:type="spellStart"/>
      <w:r w:rsidRPr="00C416E1">
        <w:rPr>
          <w:color w:val="000000"/>
        </w:rPr>
        <w:t>lieux</w:t>
      </w:r>
      <w:proofErr w:type="spellEnd"/>
      <w:r w:rsidRPr="00C416E1">
        <w:rPr>
          <w:color w:val="000000"/>
        </w:rPr>
        <w:t xml:space="preserve"> </w:t>
      </w:r>
      <w:proofErr w:type="spellStart"/>
      <w:r w:rsidRPr="00C416E1">
        <w:rPr>
          <w:color w:val="000000"/>
        </w:rPr>
        <w:t>dans</w:t>
      </w:r>
      <w:proofErr w:type="spellEnd"/>
      <w:r w:rsidRPr="00C416E1">
        <w:rPr>
          <w:color w:val="000000"/>
        </w:rPr>
        <w:t xml:space="preserve"> 8 communes de la </w:t>
      </w:r>
      <w:proofErr w:type="spellStart"/>
      <w:r w:rsidRPr="00C416E1">
        <w:rPr>
          <w:color w:val="000000"/>
        </w:rPr>
        <w:t>région</w:t>
      </w:r>
      <w:proofErr w:type="spellEnd"/>
      <w:r w:rsidRPr="00C416E1">
        <w:rPr>
          <w:color w:val="000000"/>
        </w:rPr>
        <w:t xml:space="preserve"> du Sahel</w:t>
      </w:r>
      <w:r>
        <w:rPr>
          <w:color w:val="000000"/>
        </w:rPr>
        <w:t xml:space="preserve">. </w:t>
      </w:r>
      <w:proofErr w:type="spellStart"/>
      <w:proofErr w:type="gramStart"/>
      <w:r w:rsidRPr="00C416E1">
        <w:rPr>
          <w:color w:val="000000"/>
        </w:rPr>
        <w:t>USAIDWest</w:t>
      </w:r>
      <w:proofErr w:type="spellEnd"/>
      <w:r w:rsidRPr="00C416E1">
        <w:rPr>
          <w:color w:val="000000"/>
        </w:rPr>
        <w:t xml:space="preserve"> </w:t>
      </w:r>
      <w:proofErr w:type="spellStart"/>
      <w:r w:rsidRPr="00C416E1">
        <w:rPr>
          <w:color w:val="000000"/>
        </w:rPr>
        <w:t>AfricaWater</w:t>
      </w:r>
      <w:proofErr w:type="spellEnd"/>
      <w:r w:rsidRPr="00C416E1">
        <w:rPr>
          <w:color w:val="000000"/>
        </w:rPr>
        <w:t xml:space="preserve"> Sanitation and</w:t>
      </w:r>
      <w:r>
        <w:rPr>
          <w:color w:val="000000"/>
        </w:rPr>
        <w:t xml:space="preserve"> </w:t>
      </w:r>
      <w:r w:rsidRPr="00C416E1">
        <w:rPr>
          <w:color w:val="000000"/>
        </w:rPr>
        <w:t>Hygiene Program (USAIDWA-WASH)</w:t>
      </w:r>
      <w:r>
        <w:rPr>
          <w:color w:val="000000"/>
        </w:rPr>
        <w:t xml:space="preserve"> Triple-S.</w:t>
      </w:r>
      <w:proofErr w:type="gramEnd"/>
      <w:r>
        <w:rPr>
          <w:color w:val="000000"/>
        </w:rPr>
        <w:t xml:space="preserve"> </w:t>
      </w:r>
    </w:p>
    <w:p w14:paraId="202159CA" w14:textId="049E3E54" w:rsidR="001749AC" w:rsidRPr="0003433E" w:rsidRDefault="001749AC" w:rsidP="001749AC">
      <w:pPr>
        <w:spacing w:before="240" w:after="240"/>
        <w:rPr>
          <w:color w:val="000000"/>
        </w:rPr>
      </w:pPr>
      <w:proofErr w:type="gramStart"/>
      <w:r w:rsidRPr="0003433E">
        <w:rPr>
          <w:color w:val="000000"/>
        </w:rPr>
        <w:t>Lockwood, H. and Smits, S.</w:t>
      </w:r>
      <w:r w:rsidR="00EF6906">
        <w:rPr>
          <w:color w:val="000000"/>
        </w:rPr>
        <w:t>,</w:t>
      </w:r>
      <w:r w:rsidRPr="0003433E">
        <w:rPr>
          <w:color w:val="000000"/>
        </w:rPr>
        <w:t xml:space="preserve"> 2011</w:t>
      </w:r>
      <w:r>
        <w:rPr>
          <w:color w:val="000000"/>
        </w:rPr>
        <w:t>.</w:t>
      </w:r>
      <w:proofErr w:type="gramEnd"/>
      <w:r w:rsidRPr="0003433E">
        <w:rPr>
          <w:color w:val="000000"/>
        </w:rPr>
        <w:t xml:space="preserve"> </w:t>
      </w:r>
      <w:r w:rsidRPr="0003433E">
        <w:rPr>
          <w:iCs/>
          <w:color w:val="000000"/>
        </w:rPr>
        <w:t>Lessons for Rural Water Supply: Moving towards a Service Delivery Approach</w:t>
      </w:r>
      <w:r w:rsidRPr="0003433E">
        <w:rPr>
          <w:color w:val="000000"/>
        </w:rPr>
        <w:t xml:space="preserve">, IRC International Water and Sanitation Centre, The Hague and </w:t>
      </w:r>
      <w:proofErr w:type="spellStart"/>
      <w:r w:rsidRPr="0003433E">
        <w:rPr>
          <w:color w:val="000000"/>
        </w:rPr>
        <w:t>Aguaconsult</w:t>
      </w:r>
      <w:proofErr w:type="spellEnd"/>
      <w:r w:rsidRPr="0003433E">
        <w:rPr>
          <w:color w:val="000000"/>
        </w:rPr>
        <w:t>, Wivenhoe.</w:t>
      </w:r>
      <w:r>
        <w:rPr>
          <w:color w:val="000000"/>
        </w:rPr>
        <w:t xml:space="preserve"> Available </w:t>
      </w:r>
      <w:r w:rsidR="00C416E1">
        <w:rPr>
          <w:color w:val="000000"/>
        </w:rPr>
        <w:t>at &lt;</w:t>
      </w:r>
      <w:hyperlink r:id="rId13" w:history="1">
        <w:r w:rsidRPr="00490DFB">
          <w:rPr>
            <w:rStyle w:val="Hyperlink"/>
            <w:rFonts w:cstheme="minorHAnsi"/>
          </w:rPr>
          <w:t>http://www.waterservicesthatlast.org/index.php/Resources/Multi-country-synthesis</w:t>
        </w:r>
      </w:hyperlink>
      <w:r w:rsidR="00C416E1" w:rsidRPr="00C416E1">
        <w:t>&gt;</w:t>
      </w:r>
      <w:r>
        <w:rPr>
          <w:color w:val="000000"/>
        </w:rPr>
        <w:t xml:space="preserve"> </w:t>
      </w:r>
    </w:p>
    <w:p w14:paraId="1DE4BB69" w14:textId="2E2961EB" w:rsidR="00454FDD" w:rsidRPr="00915D21" w:rsidRDefault="00454FDD" w:rsidP="00454FDD">
      <w:pPr>
        <w:spacing w:after="100" w:afterAutospacing="1"/>
        <w:rPr>
          <w:spacing w:val="-1"/>
        </w:rPr>
      </w:pPr>
      <w:r w:rsidRPr="007D1BD1">
        <w:rPr>
          <w:spacing w:val="-1"/>
          <w:lang w:val="pt-PT"/>
        </w:rPr>
        <w:t xml:space="preserve">Smits, S. </w:t>
      </w:r>
      <w:proofErr w:type="spellStart"/>
      <w:r w:rsidRPr="007D1BD1">
        <w:rPr>
          <w:spacing w:val="-1"/>
          <w:lang w:val="pt-PT"/>
        </w:rPr>
        <w:t>Tamayo</w:t>
      </w:r>
      <w:proofErr w:type="spellEnd"/>
      <w:r w:rsidRPr="007D1BD1">
        <w:rPr>
          <w:spacing w:val="-1"/>
          <w:lang w:val="pt-PT"/>
        </w:rPr>
        <w:t xml:space="preserve">, S.P., </w:t>
      </w:r>
      <w:proofErr w:type="spellStart"/>
      <w:r w:rsidRPr="007D1BD1">
        <w:rPr>
          <w:spacing w:val="-1"/>
          <w:lang w:val="pt-PT"/>
        </w:rPr>
        <w:t>Ibarra</w:t>
      </w:r>
      <w:proofErr w:type="spellEnd"/>
      <w:r w:rsidRPr="007D1BD1">
        <w:rPr>
          <w:spacing w:val="-1"/>
          <w:lang w:val="pt-PT"/>
        </w:rPr>
        <w:t xml:space="preserve">, V., Rojas, J., </w:t>
      </w:r>
      <w:proofErr w:type="spellStart"/>
      <w:r w:rsidRPr="007D1BD1">
        <w:rPr>
          <w:spacing w:val="-1"/>
          <w:lang w:val="pt-PT"/>
        </w:rPr>
        <w:t>Benavidez</w:t>
      </w:r>
      <w:proofErr w:type="spellEnd"/>
      <w:r w:rsidRPr="007D1BD1">
        <w:rPr>
          <w:spacing w:val="-1"/>
          <w:lang w:val="pt-PT"/>
        </w:rPr>
        <w:t xml:space="preserve">, A. Bey. </w:t>
      </w:r>
      <w:r w:rsidR="00EF6906" w:rsidRPr="007D1BD1">
        <w:rPr>
          <w:spacing w:val="-1"/>
          <w:lang w:val="pt-PT"/>
        </w:rPr>
        <w:t>V.</w:t>
      </w:r>
      <w:r w:rsidR="00EF6906">
        <w:rPr>
          <w:spacing w:val="-1"/>
          <w:lang w:val="pt-PT"/>
        </w:rPr>
        <w:t>,</w:t>
      </w:r>
      <w:r w:rsidR="00EF6906" w:rsidRPr="007D1BD1">
        <w:rPr>
          <w:spacing w:val="-1"/>
          <w:lang w:val="pt-PT"/>
        </w:rPr>
        <w:t xml:space="preserve"> </w:t>
      </w:r>
      <w:r w:rsidRPr="007D1BD1">
        <w:rPr>
          <w:spacing w:val="-1"/>
          <w:lang w:val="pt-PT"/>
        </w:rPr>
        <w:t xml:space="preserve">2012. </w:t>
      </w:r>
      <w:proofErr w:type="spellStart"/>
      <w:r w:rsidRPr="007D1BD1">
        <w:rPr>
          <w:i/>
          <w:spacing w:val="-1"/>
          <w:lang w:val="pt-PT"/>
        </w:rPr>
        <w:t>Gobernanza</w:t>
      </w:r>
      <w:proofErr w:type="spellEnd"/>
      <w:r w:rsidRPr="007D1BD1">
        <w:rPr>
          <w:i/>
          <w:spacing w:val="-1"/>
          <w:lang w:val="pt-PT"/>
        </w:rPr>
        <w:t xml:space="preserve"> y </w:t>
      </w:r>
      <w:proofErr w:type="spellStart"/>
      <w:r w:rsidRPr="007D1BD1">
        <w:rPr>
          <w:i/>
          <w:spacing w:val="-1"/>
          <w:lang w:val="pt-PT"/>
        </w:rPr>
        <w:t>sostenibilidad</w:t>
      </w:r>
      <w:proofErr w:type="spellEnd"/>
      <w:r w:rsidRPr="007D1BD1">
        <w:rPr>
          <w:i/>
          <w:spacing w:val="-1"/>
          <w:lang w:val="pt-PT"/>
        </w:rPr>
        <w:t xml:space="preserve"> de los sistemas de </w:t>
      </w:r>
      <w:proofErr w:type="gramStart"/>
      <w:r w:rsidRPr="007D1BD1">
        <w:rPr>
          <w:i/>
          <w:spacing w:val="-1"/>
          <w:lang w:val="pt-PT"/>
        </w:rPr>
        <w:t>agua</w:t>
      </w:r>
      <w:proofErr w:type="gramEnd"/>
      <w:r w:rsidRPr="007D1BD1">
        <w:rPr>
          <w:i/>
          <w:spacing w:val="-1"/>
          <w:lang w:val="pt-PT"/>
        </w:rPr>
        <w:t xml:space="preserve"> </w:t>
      </w:r>
      <w:proofErr w:type="spellStart"/>
      <w:r w:rsidRPr="007D1BD1">
        <w:rPr>
          <w:i/>
          <w:spacing w:val="-1"/>
          <w:lang w:val="pt-PT"/>
        </w:rPr>
        <w:t>potable</w:t>
      </w:r>
      <w:proofErr w:type="spellEnd"/>
      <w:r w:rsidRPr="007D1BD1">
        <w:rPr>
          <w:i/>
          <w:spacing w:val="-1"/>
          <w:lang w:val="pt-PT"/>
        </w:rPr>
        <w:t xml:space="preserve"> y </w:t>
      </w:r>
      <w:proofErr w:type="spellStart"/>
      <w:r w:rsidRPr="007D1BD1">
        <w:rPr>
          <w:i/>
          <w:spacing w:val="-1"/>
          <w:lang w:val="pt-PT"/>
        </w:rPr>
        <w:t>saneamiento</w:t>
      </w:r>
      <w:proofErr w:type="spellEnd"/>
      <w:r w:rsidRPr="007D1BD1">
        <w:rPr>
          <w:i/>
          <w:spacing w:val="-1"/>
          <w:lang w:val="pt-PT"/>
        </w:rPr>
        <w:t xml:space="preserve"> </w:t>
      </w:r>
      <w:proofErr w:type="spellStart"/>
      <w:r w:rsidRPr="007D1BD1">
        <w:rPr>
          <w:i/>
          <w:spacing w:val="-1"/>
          <w:lang w:val="pt-PT"/>
        </w:rPr>
        <w:t>rurales</w:t>
      </w:r>
      <w:proofErr w:type="spellEnd"/>
      <w:r w:rsidRPr="007D1BD1">
        <w:rPr>
          <w:i/>
          <w:spacing w:val="-1"/>
          <w:lang w:val="pt-PT"/>
        </w:rPr>
        <w:t xml:space="preserve"> en </w:t>
      </w:r>
      <w:proofErr w:type="spellStart"/>
      <w:r w:rsidRPr="007D1BD1">
        <w:rPr>
          <w:i/>
          <w:spacing w:val="-1"/>
          <w:lang w:val="pt-PT"/>
        </w:rPr>
        <w:t>Colombia</w:t>
      </w:r>
      <w:proofErr w:type="spellEnd"/>
      <w:r w:rsidRPr="007D1BD1">
        <w:rPr>
          <w:spacing w:val="-1"/>
          <w:lang w:val="pt-PT"/>
        </w:rPr>
        <w:t xml:space="preserve">. </w:t>
      </w:r>
      <w:proofErr w:type="spellStart"/>
      <w:r w:rsidRPr="007D1BD1">
        <w:rPr>
          <w:spacing w:val="-1"/>
          <w:lang w:val="pt-PT"/>
        </w:rPr>
        <w:t>Monografía</w:t>
      </w:r>
      <w:proofErr w:type="spellEnd"/>
      <w:r w:rsidRPr="007D1BD1">
        <w:rPr>
          <w:spacing w:val="-1"/>
          <w:lang w:val="pt-PT"/>
        </w:rPr>
        <w:t xml:space="preserve"> </w:t>
      </w:r>
      <w:proofErr w:type="gramStart"/>
      <w:r w:rsidRPr="007D1BD1">
        <w:rPr>
          <w:spacing w:val="-1"/>
          <w:lang w:val="pt-PT"/>
        </w:rPr>
        <w:t>No</w:t>
      </w:r>
      <w:proofErr w:type="gramEnd"/>
      <w:r w:rsidRPr="007D1BD1">
        <w:rPr>
          <w:spacing w:val="-1"/>
          <w:lang w:val="pt-PT"/>
        </w:rPr>
        <w:t xml:space="preserve">. IDB-MG-133. </w:t>
      </w:r>
      <w:r w:rsidR="001749AC" w:rsidRPr="00915D21">
        <w:rPr>
          <w:spacing w:val="-1"/>
        </w:rPr>
        <w:t>Washington, DC</w:t>
      </w:r>
      <w:r w:rsidR="001749AC">
        <w:rPr>
          <w:spacing w:val="-1"/>
        </w:rPr>
        <w:t>:</w:t>
      </w:r>
      <w:r w:rsidR="001749AC" w:rsidRPr="00915D21">
        <w:rPr>
          <w:spacing w:val="-1"/>
        </w:rPr>
        <w:t xml:space="preserve"> </w:t>
      </w:r>
      <w:r w:rsidRPr="00915D21">
        <w:rPr>
          <w:spacing w:val="-1"/>
        </w:rPr>
        <w:t xml:space="preserve">Banco </w:t>
      </w:r>
      <w:proofErr w:type="spellStart"/>
      <w:r w:rsidRPr="00915D21">
        <w:rPr>
          <w:spacing w:val="-1"/>
        </w:rPr>
        <w:t>Interamericano</w:t>
      </w:r>
      <w:proofErr w:type="spellEnd"/>
      <w:r w:rsidRPr="00915D21">
        <w:rPr>
          <w:spacing w:val="-1"/>
        </w:rPr>
        <w:t xml:space="preserve"> de </w:t>
      </w:r>
      <w:proofErr w:type="spellStart"/>
      <w:r w:rsidRPr="00915D21">
        <w:rPr>
          <w:spacing w:val="-1"/>
        </w:rPr>
        <w:t>Desarrollo</w:t>
      </w:r>
      <w:proofErr w:type="spellEnd"/>
      <w:r w:rsidRPr="00915D21">
        <w:rPr>
          <w:spacing w:val="-1"/>
        </w:rPr>
        <w:t xml:space="preserve">, </w:t>
      </w:r>
    </w:p>
    <w:p w14:paraId="165A6A9F" w14:textId="54A9A36A" w:rsidR="00195435" w:rsidRDefault="004F001D" w:rsidP="004F001D">
      <w:r w:rsidRPr="00915D21">
        <w:t>Smits, S. Uytewaal, E</w:t>
      </w:r>
      <w:r w:rsidR="00EF6906">
        <w:t xml:space="preserve">, and </w:t>
      </w:r>
      <w:proofErr w:type="spellStart"/>
      <w:r w:rsidRPr="00915D21">
        <w:t>Sturzenegger</w:t>
      </w:r>
      <w:proofErr w:type="spellEnd"/>
      <w:r w:rsidR="00EF6906">
        <w:t xml:space="preserve">, </w:t>
      </w:r>
      <w:r w:rsidR="00EF6906" w:rsidRPr="00915D21">
        <w:t>G.</w:t>
      </w:r>
      <w:r w:rsidR="00EF6906">
        <w:t xml:space="preserve">, </w:t>
      </w:r>
      <w:r w:rsidRPr="007D1BD1">
        <w:rPr>
          <w:lang w:val="fr-FR"/>
        </w:rPr>
        <w:t>2013</w:t>
      </w:r>
      <w:r w:rsidR="00EF6906">
        <w:rPr>
          <w:lang w:val="fr-FR"/>
        </w:rPr>
        <w:t>.</w:t>
      </w:r>
      <w:r w:rsidRPr="007D1BD1">
        <w:rPr>
          <w:lang w:val="fr-FR"/>
        </w:rPr>
        <w:t xml:space="preserve"> </w:t>
      </w:r>
      <w:proofErr w:type="spellStart"/>
      <w:proofErr w:type="gramStart"/>
      <w:r w:rsidRPr="007D1BD1">
        <w:rPr>
          <w:lang w:val="fr-FR"/>
        </w:rPr>
        <w:t>forthcoming</w:t>
      </w:r>
      <w:proofErr w:type="spellEnd"/>
      <w:proofErr w:type="gramEnd"/>
      <w:r w:rsidRPr="007D1BD1">
        <w:rPr>
          <w:lang w:val="fr-FR"/>
        </w:rPr>
        <w:t xml:space="preserve">. </w:t>
      </w:r>
      <w:proofErr w:type="spellStart"/>
      <w:r w:rsidRPr="007D1BD1">
        <w:rPr>
          <w:i/>
          <w:lang w:val="pt-PT"/>
        </w:rPr>
        <w:t>Guía</w:t>
      </w:r>
      <w:proofErr w:type="spellEnd"/>
      <w:r w:rsidRPr="007D1BD1">
        <w:rPr>
          <w:i/>
          <w:lang w:val="pt-PT"/>
        </w:rPr>
        <w:t xml:space="preserve"> metodológica para el </w:t>
      </w:r>
      <w:proofErr w:type="spellStart"/>
      <w:r w:rsidRPr="007D1BD1">
        <w:rPr>
          <w:i/>
          <w:lang w:val="pt-PT"/>
        </w:rPr>
        <w:t>monitoreo</w:t>
      </w:r>
      <w:proofErr w:type="spellEnd"/>
      <w:r w:rsidRPr="007D1BD1">
        <w:rPr>
          <w:i/>
          <w:lang w:val="pt-PT"/>
        </w:rPr>
        <w:t xml:space="preserve"> de </w:t>
      </w:r>
      <w:proofErr w:type="spellStart"/>
      <w:r w:rsidRPr="007D1BD1">
        <w:rPr>
          <w:i/>
          <w:lang w:val="pt-PT"/>
        </w:rPr>
        <w:t>servicios</w:t>
      </w:r>
      <w:proofErr w:type="spellEnd"/>
      <w:r w:rsidRPr="007D1BD1">
        <w:rPr>
          <w:i/>
          <w:lang w:val="pt-PT"/>
        </w:rPr>
        <w:t xml:space="preserve"> de </w:t>
      </w:r>
      <w:proofErr w:type="gramStart"/>
      <w:r w:rsidRPr="007D1BD1">
        <w:rPr>
          <w:i/>
          <w:lang w:val="pt-PT"/>
        </w:rPr>
        <w:t>agua</w:t>
      </w:r>
      <w:proofErr w:type="gramEnd"/>
      <w:r w:rsidRPr="007D1BD1">
        <w:rPr>
          <w:i/>
          <w:lang w:val="pt-PT"/>
        </w:rPr>
        <w:t xml:space="preserve"> y </w:t>
      </w:r>
      <w:proofErr w:type="spellStart"/>
      <w:r w:rsidRPr="007D1BD1">
        <w:rPr>
          <w:i/>
          <w:lang w:val="pt-PT"/>
        </w:rPr>
        <w:t>saneamiento</w:t>
      </w:r>
      <w:proofErr w:type="spellEnd"/>
      <w:r w:rsidRPr="007D1BD1">
        <w:rPr>
          <w:i/>
          <w:lang w:val="pt-PT"/>
        </w:rPr>
        <w:t xml:space="preserve"> en zonas </w:t>
      </w:r>
      <w:proofErr w:type="spellStart"/>
      <w:r w:rsidRPr="007D1BD1">
        <w:rPr>
          <w:i/>
          <w:lang w:val="pt-PT"/>
        </w:rPr>
        <w:t>rurales</w:t>
      </w:r>
      <w:proofErr w:type="spellEnd"/>
      <w:r w:rsidRPr="007D1BD1">
        <w:rPr>
          <w:lang w:val="pt-PT"/>
        </w:rPr>
        <w:t xml:space="preserve">. </w:t>
      </w:r>
      <w:r w:rsidR="001749AC" w:rsidRPr="00915D21">
        <w:t>Washington, DC</w:t>
      </w:r>
      <w:r w:rsidR="001749AC">
        <w:t>:</w:t>
      </w:r>
      <w:r w:rsidR="001749AC" w:rsidRPr="00915D21">
        <w:t xml:space="preserve"> </w:t>
      </w:r>
      <w:r w:rsidRPr="00915D21">
        <w:t xml:space="preserve">Banco </w:t>
      </w:r>
      <w:proofErr w:type="spellStart"/>
      <w:r w:rsidRPr="00915D21">
        <w:t>Interamericano</w:t>
      </w:r>
      <w:proofErr w:type="spellEnd"/>
      <w:r w:rsidRPr="00915D21">
        <w:t xml:space="preserve"> de </w:t>
      </w:r>
      <w:proofErr w:type="spellStart"/>
      <w:r w:rsidRPr="00915D21">
        <w:t>Desarrollo</w:t>
      </w:r>
      <w:proofErr w:type="spellEnd"/>
      <w:r w:rsidRPr="00915D21">
        <w:t xml:space="preserve">, </w:t>
      </w:r>
    </w:p>
    <w:p w14:paraId="314E735C" w14:textId="7FA2FBC0" w:rsidR="00EF6906" w:rsidRDefault="00EF6906" w:rsidP="00EF6906">
      <w:pPr>
        <w:sectPr w:rsidR="00EF6906">
          <w:footerReference w:type="default" r:id="rId14"/>
          <w:pgSz w:w="11906" w:h="16838"/>
          <w:pgMar w:top="1440" w:right="1440" w:bottom="1440" w:left="1440" w:header="720" w:footer="720" w:gutter="0"/>
          <w:cols w:space="720"/>
          <w:docGrid w:linePitch="360"/>
        </w:sectPr>
      </w:pPr>
      <w:proofErr w:type="spellStart"/>
      <w:r>
        <w:t>WASHCost</w:t>
      </w:r>
      <w:proofErr w:type="spellEnd"/>
      <w:r>
        <w:t xml:space="preserve"> Ghana, 2012. </w:t>
      </w:r>
      <w:proofErr w:type="spellStart"/>
      <w:r w:rsidRPr="00EF6906">
        <w:rPr>
          <w:i/>
        </w:rPr>
        <w:t>Grushie</w:t>
      </w:r>
      <w:proofErr w:type="spellEnd"/>
      <w:r w:rsidRPr="00EF6906">
        <w:rPr>
          <w:i/>
        </w:rPr>
        <w:t xml:space="preserve"> </w:t>
      </w:r>
      <w:proofErr w:type="spellStart"/>
      <w:r w:rsidRPr="00EF6906">
        <w:rPr>
          <w:i/>
        </w:rPr>
        <w:t>Zongo</w:t>
      </w:r>
      <w:proofErr w:type="spellEnd"/>
      <w:r w:rsidRPr="00EF6906">
        <w:rPr>
          <w:i/>
        </w:rPr>
        <w:t xml:space="preserve"> community report Cost of water and sanitation services in </w:t>
      </w:r>
      <w:proofErr w:type="spellStart"/>
      <w:r w:rsidRPr="00EF6906">
        <w:rPr>
          <w:i/>
        </w:rPr>
        <w:t>Grushie</w:t>
      </w:r>
      <w:proofErr w:type="spellEnd"/>
      <w:r w:rsidRPr="00EF6906">
        <w:rPr>
          <w:i/>
        </w:rPr>
        <w:t xml:space="preserve"> </w:t>
      </w:r>
      <w:proofErr w:type="spellStart"/>
      <w:r w:rsidRPr="00EF6906">
        <w:rPr>
          <w:i/>
        </w:rPr>
        <w:t>Zongo</w:t>
      </w:r>
      <w:proofErr w:type="spellEnd"/>
      <w:r w:rsidRPr="00EF6906">
        <w:rPr>
          <w:i/>
        </w:rPr>
        <w:t xml:space="preserve"> in East </w:t>
      </w:r>
      <w:proofErr w:type="spellStart"/>
      <w:r w:rsidRPr="00EF6906">
        <w:rPr>
          <w:i/>
        </w:rPr>
        <w:t>Gonja</w:t>
      </w:r>
      <w:proofErr w:type="spellEnd"/>
      <w:r w:rsidRPr="00EF6906">
        <w:rPr>
          <w:i/>
        </w:rPr>
        <w:t xml:space="preserve"> District, Ghana</w:t>
      </w:r>
      <w:r>
        <w:t xml:space="preserve">. </w:t>
      </w:r>
      <w:proofErr w:type="spellStart"/>
      <w:r>
        <w:t>WASHCost</w:t>
      </w:r>
      <w:proofErr w:type="spellEnd"/>
      <w:r>
        <w:t xml:space="preserve"> Ghana, Community Report. Accra: </w:t>
      </w:r>
      <w:proofErr w:type="spellStart"/>
      <w:r>
        <w:t>WASHCost</w:t>
      </w:r>
      <w:proofErr w:type="spellEnd"/>
      <w:r>
        <w:t xml:space="preserve"> Ghana. </w:t>
      </w:r>
    </w:p>
    <w:p w14:paraId="234CB87E" w14:textId="4F70AB42" w:rsidR="00195435" w:rsidRDefault="00D233D9" w:rsidP="00195435">
      <w:r>
        <w:lastRenderedPageBreak/>
        <w:t xml:space="preserve">Annex 1: </w:t>
      </w:r>
      <w:r w:rsidR="00AB0507">
        <w:t>Examples of s</w:t>
      </w:r>
      <w:r w:rsidR="00195435">
        <w:t>ervice provider indicators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290"/>
        <w:gridCol w:w="4290"/>
        <w:gridCol w:w="4290"/>
      </w:tblGrid>
      <w:tr w:rsidR="00AB0507" w:rsidRPr="00BC29AD" w14:paraId="6060A5E1" w14:textId="77777777" w:rsidTr="00AB0507">
        <w:trPr>
          <w:trHeight w:val="197"/>
          <w:tblHeader/>
        </w:trPr>
        <w:tc>
          <w:tcPr>
            <w:tcW w:w="1548" w:type="dxa"/>
            <w:tcBorders>
              <w:top w:val="single" w:sz="4" w:space="0" w:color="auto"/>
              <w:left w:val="single" w:sz="4" w:space="0" w:color="auto"/>
              <w:bottom w:val="single" w:sz="4" w:space="0" w:color="auto"/>
              <w:right w:val="single" w:sz="4" w:space="0" w:color="auto"/>
            </w:tcBorders>
            <w:shd w:val="clear" w:color="auto" w:fill="4F81BD" w:themeFill="accent1"/>
          </w:tcPr>
          <w:p w14:paraId="514E84DA" w14:textId="77777777" w:rsidR="00AB0507" w:rsidRPr="00BC29AD" w:rsidRDefault="00AB0507" w:rsidP="009E04C4">
            <w:pPr>
              <w:spacing w:after="0" w:line="240" w:lineRule="auto"/>
              <w:rPr>
                <w:rFonts w:cs="Calibri"/>
                <w:b/>
                <w:color w:val="FFFFFF" w:themeColor="background1"/>
                <w:spacing w:val="-2"/>
                <w:sz w:val="18"/>
                <w:szCs w:val="18"/>
              </w:rPr>
            </w:pPr>
          </w:p>
        </w:tc>
        <w:tc>
          <w:tcPr>
            <w:tcW w:w="4290" w:type="dxa"/>
            <w:tcBorders>
              <w:top w:val="single" w:sz="4" w:space="0" w:color="auto"/>
              <w:left w:val="single" w:sz="4" w:space="0" w:color="auto"/>
              <w:bottom w:val="single" w:sz="4" w:space="0" w:color="auto"/>
              <w:right w:val="single" w:sz="4" w:space="0" w:color="auto"/>
            </w:tcBorders>
            <w:shd w:val="clear" w:color="auto" w:fill="4F81BD" w:themeFill="accent1"/>
          </w:tcPr>
          <w:p w14:paraId="4C4B792F" w14:textId="77777777" w:rsidR="00AB0507" w:rsidRPr="00BC29AD" w:rsidRDefault="00AB0507" w:rsidP="009E04C4">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General indicators -  Latin America (small piped scheme service providers)</w:t>
            </w:r>
          </w:p>
        </w:tc>
        <w:tc>
          <w:tcPr>
            <w:tcW w:w="429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674DFB0" w14:textId="77777777" w:rsidR="00AB0507" w:rsidRPr="00BC29AD" w:rsidRDefault="00AB0507" w:rsidP="009E04C4">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 xml:space="preserve">Uganda </w:t>
            </w:r>
          </w:p>
          <w:p w14:paraId="4CB60DB9" w14:textId="77777777" w:rsidR="00AB0507" w:rsidRPr="00BC29AD" w:rsidRDefault="00AB0507" w:rsidP="009E04C4">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(Point source water service providers)</w:t>
            </w:r>
          </w:p>
        </w:tc>
        <w:tc>
          <w:tcPr>
            <w:tcW w:w="4290" w:type="dxa"/>
            <w:tcBorders>
              <w:top w:val="single" w:sz="4" w:space="0" w:color="auto"/>
              <w:left w:val="single" w:sz="4" w:space="0" w:color="auto"/>
              <w:bottom w:val="single" w:sz="4" w:space="0" w:color="auto"/>
              <w:right w:val="single" w:sz="4" w:space="0" w:color="auto"/>
            </w:tcBorders>
            <w:shd w:val="clear" w:color="auto" w:fill="4F81BD" w:themeFill="accent1"/>
          </w:tcPr>
          <w:p w14:paraId="7F39412E" w14:textId="77777777" w:rsidR="00AB0507" w:rsidRPr="00BC29AD" w:rsidRDefault="00AB0507" w:rsidP="009E04C4">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 xml:space="preserve">Ghana </w:t>
            </w:r>
          </w:p>
          <w:p w14:paraId="52866CC8" w14:textId="77777777" w:rsidR="00AB0507" w:rsidRPr="00BC29AD" w:rsidRDefault="00AB0507" w:rsidP="009E04C4">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(Point source water service providers)</w:t>
            </w:r>
          </w:p>
        </w:tc>
      </w:tr>
      <w:tr w:rsidR="00AB0507" w:rsidRPr="00BC29AD" w14:paraId="56209E92" w14:textId="77777777" w:rsidTr="00BC29AD">
        <w:trPr>
          <w:trHeight w:val="1418"/>
        </w:trPr>
        <w:tc>
          <w:tcPr>
            <w:tcW w:w="1548" w:type="dxa"/>
            <w:tcBorders>
              <w:top w:val="single" w:sz="4" w:space="0" w:color="auto"/>
              <w:left w:val="single" w:sz="4" w:space="0" w:color="auto"/>
              <w:bottom w:val="single" w:sz="4" w:space="0" w:color="auto"/>
              <w:right w:val="single" w:sz="4" w:space="0" w:color="auto"/>
            </w:tcBorders>
            <w:shd w:val="clear" w:color="auto" w:fill="4F81BD" w:themeFill="accent1"/>
          </w:tcPr>
          <w:p w14:paraId="76C896F4" w14:textId="77777777" w:rsidR="00AB0507" w:rsidRPr="00BC29AD" w:rsidRDefault="00AB0507" w:rsidP="009E04C4">
            <w:pPr>
              <w:spacing w:after="0" w:line="240" w:lineRule="auto"/>
              <w:rPr>
                <w:rFonts w:cs="Calibri"/>
                <w:color w:val="FFFFFF" w:themeColor="background1"/>
                <w:spacing w:val="-2"/>
                <w:sz w:val="18"/>
                <w:szCs w:val="18"/>
              </w:rPr>
            </w:pPr>
            <w:r w:rsidRPr="00BC29AD">
              <w:rPr>
                <w:rFonts w:cs="Calibri"/>
                <w:color w:val="FFFFFF" w:themeColor="background1"/>
                <w:spacing w:val="-2"/>
                <w:sz w:val="18"/>
                <w:szCs w:val="18"/>
              </w:rPr>
              <w:t>Organisation and governance</w:t>
            </w:r>
          </w:p>
        </w:tc>
        <w:tc>
          <w:tcPr>
            <w:tcW w:w="4290" w:type="dxa"/>
            <w:tcBorders>
              <w:top w:val="single" w:sz="4" w:space="0" w:color="auto"/>
              <w:left w:val="single" w:sz="4" w:space="0" w:color="auto"/>
              <w:bottom w:val="single" w:sz="4" w:space="0" w:color="auto"/>
              <w:right w:val="single" w:sz="4" w:space="0" w:color="auto"/>
            </w:tcBorders>
            <w:shd w:val="clear" w:color="auto" w:fill="FFFFFF" w:themeFill="background1"/>
          </w:tcPr>
          <w:p w14:paraId="6CC13C3C" w14:textId="77777777" w:rsidR="00AB0507" w:rsidRPr="00BC29AD" w:rsidRDefault="00AB0507" w:rsidP="00AB0507">
            <w:pPr>
              <w:pStyle w:val="ListParagraph"/>
              <w:numPr>
                <w:ilvl w:val="0"/>
                <w:numId w:val="17"/>
              </w:numPr>
              <w:spacing w:after="0" w:line="240" w:lineRule="auto"/>
              <w:ind w:left="342"/>
              <w:rPr>
                <w:rFonts w:cs="Calibri"/>
                <w:spacing w:val="-2"/>
                <w:sz w:val="18"/>
                <w:szCs w:val="18"/>
              </w:rPr>
            </w:pPr>
            <w:r w:rsidRPr="00BC29AD">
              <w:rPr>
                <w:rFonts w:cs="Calibri"/>
                <w:spacing w:val="-2"/>
                <w:sz w:val="18"/>
                <w:szCs w:val="18"/>
              </w:rPr>
              <w:t>Formal establishment of the service provider</w:t>
            </w:r>
          </w:p>
          <w:p w14:paraId="4C30C641" w14:textId="77777777" w:rsidR="00AB0507" w:rsidRPr="00BC29AD" w:rsidRDefault="00AB0507" w:rsidP="00AB0507">
            <w:pPr>
              <w:pStyle w:val="ListParagraph"/>
              <w:numPr>
                <w:ilvl w:val="0"/>
                <w:numId w:val="17"/>
              </w:numPr>
              <w:spacing w:after="0" w:line="240" w:lineRule="auto"/>
              <w:ind w:left="342"/>
              <w:rPr>
                <w:rFonts w:cs="Calibri"/>
                <w:spacing w:val="-2"/>
                <w:sz w:val="18"/>
                <w:szCs w:val="18"/>
              </w:rPr>
            </w:pPr>
            <w:r w:rsidRPr="00BC29AD">
              <w:rPr>
                <w:rFonts w:cs="Calibri"/>
                <w:spacing w:val="-2"/>
                <w:sz w:val="18"/>
                <w:szCs w:val="18"/>
              </w:rPr>
              <w:t>Presence of statutes of the service provider</w:t>
            </w:r>
          </w:p>
          <w:p w14:paraId="06327A38" w14:textId="77777777" w:rsidR="00AB0507" w:rsidRPr="00BC29AD" w:rsidRDefault="00AB0507" w:rsidP="00AB0507">
            <w:pPr>
              <w:pStyle w:val="ListParagraph"/>
              <w:numPr>
                <w:ilvl w:val="0"/>
                <w:numId w:val="17"/>
              </w:numPr>
              <w:spacing w:after="0" w:line="240" w:lineRule="auto"/>
              <w:ind w:left="342"/>
              <w:rPr>
                <w:sz w:val="18"/>
                <w:szCs w:val="18"/>
              </w:rPr>
            </w:pPr>
            <w:r w:rsidRPr="00BC29AD">
              <w:rPr>
                <w:rFonts w:cs="Calibri"/>
                <w:spacing w:val="-2"/>
                <w:sz w:val="18"/>
                <w:szCs w:val="18"/>
              </w:rPr>
              <w:t>Gender balance in service providers</w:t>
            </w:r>
          </w:p>
          <w:p w14:paraId="59875836" w14:textId="77777777" w:rsidR="00AB0507" w:rsidRPr="00BC29AD" w:rsidRDefault="00AB0507" w:rsidP="00AB0507">
            <w:pPr>
              <w:pStyle w:val="ListParagraph"/>
              <w:numPr>
                <w:ilvl w:val="0"/>
                <w:numId w:val="17"/>
              </w:numPr>
              <w:spacing w:after="0" w:line="240" w:lineRule="auto"/>
              <w:ind w:left="342"/>
              <w:rPr>
                <w:rFonts w:cs="Calibri"/>
                <w:spacing w:val="-2"/>
                <w:sz w:val="18"/>
                <w:szCs w:val="18"/>
              </w:rPr>
            </w:pPr>
            <w:r w:rsidRPr="00BC29AD">
              <w:rPr>
                <w:rFonts w:cs="Calibri"/>
                <w:spacing w:val="-2"/>
                <w:sz w:val="18"/>
                <w:szCs w:val="18"/>
              </w:rPr>
              <w:t>Staff capacity</w:t>
            </w:r>
          </w:p>
          <w:p w14:paraId="384FED5A" w14:textId="77777777" w:rsidR="00AB0507" w:rsidRPr="00BC29AD" w:rsidRDefault="00AB0507" w:rsidP="00AB0507">
            <w:pPr>
              <w:pStyle w:val="ListParagraph"/>
              <w:numPr>
                <w:ilvl w:val="0"/>
                <w:numId w:val="17"/>
              </w:numPr>
              <w:spacing w:after="0" w:line="240" w:lineRule="auto"/>
              <w:ind w:left="342"/>
              <w:rPr>
                <w:rFonts w:cstheme="minorHAnsi"/>
                <w:sz w:val="18"/>
                <w:szCs w:val="18"/>
                <w:lang w:val="es-ES"/>
              </w:rPr>
            </w:pPr>
            <w:r w:rsidRPr="00BC29AD">
              <w:rPr>
                <w:sz w:val="18"/>
                <w:szCs w:val="18"/>
              </w:rPr>
              <w:t>Operation and maintenance capacity</w:t>
            </w:r>
          </w:p>
          <w:p w14:paraId="08541644" w14:textId="6D517873" w:rsidR="00AB0507" w:rsidRPr="00BC29AD" w:rsidRDefault="00AB0507" w:rsidP="00AB0507">
            <w:pPr>
              <w:pStyle w:val="ListParagraph"/>
              <w:numPr>
                <w:ilvl w:val="0"/>
                <w:numId w:val="17"/>
              </w:numPr>
              <w:spacing w:after="0" w:line="240" w:lineRule="auto"/>
              <w:ind w:left="342"/>
              <w:rPr>
                <w:rFonts w:cs="Calibri"/>
                <w:spacing w:val="-2"/>
                <w:sz w:val="18"/>
                <w:szCs w:val="18"/>
              </w:rPr>
            </w:pPr>
            <w:r w:rsidRPr="00BC29AD">
              <w:rPr>
                <w:sz w:val="18"/>
                <w:szCs w:val="18"/>
              </w:rPr>
              <w:t>Rotation of the executive members of the service provider</w:t>
            </w:r>
          </w:p>
        </w:tc>
        <w:tc>
          <w:tcPr>
            <w:tcW w:w="4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3A63E" w14:textId="77777777" w:rsidR="00AB0507" w:rsidRPr="00BC29AD" w:rsidRDefault="00AB0507" w:rsidP="00AB0507">
            <w:pPr>
              <w:pStyle w:val="ListParagraph"/>
              <w:numPr>
                <w:ilvl w:val="0"/>
                <w:numId w:val="17"/>
              </w:numPr>
              <w:spacing w:after="0" w:line="240" w:lineRule="auto"/>
              <w:ind w:left="372"/>
              <w:rPr>
                <w:rFonts w:cs="Calibri"/>
                <w:spacing w:val="-2"/>
                <w:sz w:val="18"/>
                <w:szCs w:val="18"/>
              </w:rPr>
            </w:pPr>
            <w:r w:rsidRPr="00BC29AD">
              <w:rPr>
                <w:rFonts w:cs="Calibri"/>
                <w:spacing w:val="-2"/>
                <w:sz w:val="18"/>
                <w:szCs w:val="18"/>
              </w:rPr>
              <w:t>WUC members elected by water users</w:t>
            </w:r>
          </w:p>
          <w:p w14:paraId="05CD89AB" w14:textId="77777777" w:rsidR="00AB0507" w:rsidRPr="00BC29AD" w:rsidRDefault="00AB0507" w:rsidP="00AB0507">
            <w:pPr>
              <w:pStyle w:val="ListParagraph"/>
              <w:numPr>
                <w:ilvl w:val="0"/>
                <w:numId w:val="17"/>
              </w:numPr>
              <w:spacing w:after="0" w:line="240" w:lineRule="auto"/>
              <w:ind w:left="372"/>
              <w:rPr>
                <w:rFonts w:cs="Calibri"/>
                <w:spacing w:val="-2"/>
                <w:sz w:val="18"/>
                <w:szCs w:val="18"/>
              </w:rPr>
            </w:pPr>
            <w:r w:rsidRPr="00BC29AD">
              <w:rPr>
                <w:rFonts w:cs="Calibri"/>
                <w:spacing w:val="-2"/>
                <w:sz w:val="18"/>
                <w:szCs w:val="18"/>
              </w:rPr>
              <w:t>WUC is gender-balanced</w:t>
            </w:r>
          </w:p>
          <w:p w14:paraId="3927233D" w14:textId="77777777" w:rsidR="00AB0507" w:rsidRPr="00BC29AD" w:rsidRDefault="00AB0507" w:rsidP="00AB0507">
            <w:pPr>
              <w:pStyle w:val="ListParagraph"/>
              <w:numPr>
                <w:ilvl w:val="0"/>
                <w:numId w:val="17"/>
              </w:numPr>
              <w:spacing w:after="0" w:line="240" w:lineRule="auto"/>
              <w:ind w:left="372"/>
              <w:rPr>
                <w:rFonts w:cs="Calibri"/>
                <w:spacing w:val="-2"/>
                <w:sz w:val="18"/>
                <w:szCs w:val="18"/>
              </w:rPr>
            </w:pPr>
            <w:r w:rsidRPr="00BC29AD">
              <w:rPr>
                <w:rFonts w:cs="Calibri"/>
                <w:spacing w:val="-2"/>
                <w:sz w:val="18"/>
                <w:szCs w:val="18"/>
              </w:rPr>
              <w:t>At least 1 women in a key position in the WUC</w:t>
            </w:r>
          </w:p>
          <w:p w14:paraId="1CE6D957" w14:textId="2D7FA4E4" w:rsidR="00AB0507" w:rsidRPr="00BC29AD" w:rsidRDefault="00AB0507" w:rsidP="00AB0507">
            <w:pPr>
              <w:pStyle w:val="ListParagraph"/>
              <w:numPr>
                <w:ilvl w:val="0"/>
                <w:numId w:val="17"/>
              </w:numPr>
              <w:spacing w:after="0" w:line="240" w:lineRule="auto"/>
              <w:ind w:left="372"/>
              <w:rPr>
                <w:rFonts w:cs="Calibri"/>
                <w:spacing w:val="-2"/>
                <w:sz w:val="18"/>
                <w:szCs w:val="18"/>
              </w:rPr>
            </w:pPr>
            <w:r w:rsidRPr="00BC29AD">
              <w:rPr>
                <w:rFonts w:cs="Calibri"/>
                <w:spacing w:val="-2"/>
                <w:sz w:val="18"/>
                <w:szCs w:val="18"/>
              </w:rPr>
              <w:t>No. of active WUC members</w:t>
            </w:r>
          </w:p>
        </w:tc>
        <w:tc>
          <w:tcPr>
            <w:tcW w:w="4290" w:type="dxa"/>
            <w:tcBorders>
              <w:top w:val="single" w:sz="4" w:space="0" w:color="auto"/>
              <w:left w:val="single" w:sz="4" w:space="0" w:color="auto"/>
              <w:right w:val="single" w:sz="4" w:space="0" w:color="auto"/>
            </w:tcBorders>
            <w:shd w:val="clear" w:color="auto" w:fill="FFFFFF" w:themeFill="background1"/>
          </w:tcPr>
          <w:p w14:paraId="2BA89F54" w14:textId="77777777" w:rsidR="00AB0507" w:rsidRPr="00BC29AD" w:rsidRDefault="00AB0507" w:rsidP="00AB0507">
            <w:pPr>
              <w:pStyle w:val="ListParagraph"/>
              <w:numPr>
                <w:ilvl w:val="0"/>
                <w:numId w:val="18"/>
              </w:numPr>
              <w:spacing w:after="0" w:line="240" w:lineRule="auto"/>
              <w:ind w:left="402"/>
              <w:rPr>
                <w:rFonts w:cs="Calibri"/>
                <w:spacing w:val="-2"/>
                <w:sz w:val="18"/>
                <w:szCs w:val="18"/>
              </w:rPr>
            </w:pPr>
            <w:r w:rsidRPr="00BC29AD">
              <w:rPr>
                <w:sz w:val="18"/>
                <w:szCs w:val="18"/>
              </w:rPr>
              <w:t>A well-qualified, trained and experienced gender balanced WATSAN committee / WSDT is in place</w:t>
            </w:r>
          </w:p>
          <w:p w14:paraId="5F2C9FA4" w14:textId="7EF518D4" w:rsidR="00AB0507" w:rsidRPr="00BC29AD" w:rsidRDefault="00AB0507" w:rsidP="00AB0507">
            <w:pPr>
              <w:pStyle w:val="ListParagraph"/>
              <w:numPr>
                <w:ilvl w:val="0"/>
                <w:numId w:val="18"/>
              </w:numPr>
              <w:spacing w:after="0" w:line="240" w:lineRule="auto"/>
              <w:ind w:left="402"/>
              <w:rPr>
                <w:rFonts w:cs="Calibri"/>
                <w:spacing w:val="-2"/>
                <w:sz w:val="18"/>
                <w:szCs w:val="18"/>
              </w:rPr>
            </w:pPr>
            <w:r w:rsidRPr="00BC29AD">
              <w:rPr>
                <w:sz w:val="18"/>
                <w:szCs w:val="18"/>
              </w:rPr>
              <w:t>There is no political or chieftaincy influence in the composition of the WATSAN committee or WSDT</w:t>
            </w:r>
          </w:p>
        </w:tc>
      </w:tr>
      <w:tr w:rsidR="00AB0507" w:rsidRPr="00BC29AD" w14:paraId="62AA3C15" w14:textId="77777777" w:rsidTr="00BC29AD">
        <w:trPr>
          <w:trHeight w:val="1214"/>
        </w:trPr>
        <w:tc>
          <w:tcPr>
            <w:tcW w:w="1548" w:type="dxa"/>
            <w:tcBorders>
              <w:top w:val="single" w:sz="4" w:space="0" w:color="auto"/>
              <w:left w:val="single" w:sz="4" w:space="0" w:color="auto"/>
              <w:bottom w:val="single" w:sz="4" w:space="0" w:color="auto"/>
              <w:right w:val="single" w:sz="4" w:space="0" w:color="auto"/>
            </w:tcBorders>
            <w:shd w:val="clear" w:color="auto" w:fill="4F81BD" w:themeFill="accent1"/>
          </w:tcPr>
          <w:p w14:paraId="2D4EFE94" w14:textId="77777777" w:rsidR="00AB0507" w:rsidRPr="00BC29AD" w:rsidRDefault="00AB0507" w:rsidP="009E04C4">
            <w:pPr>
              <w:spacing w:after="0" w:line="240" w:lineRule="auto"/>
              <w:rPr>
                <w:rFonts w:cs="Calibri"/>
                <w:color w:val="FFFFFF" w:themeColor="background1"/>
                <w:spacing w:val="-2"/>
                <w:sz w:val="18"/>
                <w:szCs w:val="18"/>
              </w:rPr>
            </w:pPr>
            <w:r w:rsidRPr="00BC29AD">
              <w:rPr>
                <w:rFonts w:cs="Calibri"/>
                <w:color w:val="FFFFFF" w:themeColor="background1"/>
                <w:spacing w:val="-2"/>
                <w:sz w:val="18"/>
                <w:szCs w:val="18"/>
              </w:rPr>
              <w:t>Administration and accountability</w:t>
            </w:r>
          </w:p>
        </w:tc>
        <w:tc>
          <w:tcPr>
            <w:tcW w:w="4290" w:type="dxa"/>
            <w:tcBorders>
              <w:top w:val="single" w:sz="4" w:space="0" w:color="auto"/>
              <w:left w:val="single" w:sz="4" w:space="0" w:color="auto"/>
              <w:bottom w:val="single" w:sz="4" w:space="0" w:color="auto"/>
              <w:right w:val="single" w:sz="4" w:space="0" w:color="auto"/>
            </w:tcBorders>
            <w:shd w:val="clear" w:color="auto" w:fill="FFFFFF" w:themeFill="background1"/>
          </w:tcPr>
          <w:p w14:paraId="3CBC72A1" w14:textId="77777777" w:rsidR="00AB0507" w:rsidRPr="00BC29AD" w:rsidRDefault="00AB0507" w:rsidP="00AB0507">
            <w:pPr>
              <w:pStyle w:val="ListParagraph"/>
              <w:numPr>
                <w:ilvl w:val="0"/>
                <w:numId w:val="18"/>
              </w:numPr>
              <w:spacing w:after="0" w:line="240" w:lineRule="auto"/>
              <w:ind w:left="342"/>
              <w:rPr>
                <w:rFonts w:cs="Calibri"/>
                <w:spacing w:val="-2"/>
                <w:sz w:val="18"/>
                <w:szCs w:val="18"/>
              </w:rPr>
            </w:pPr>
            <w:r w:rsidRPr="00BC29AD">
              <w:rPr>
                <w:sz w:val="18"/>
                <w:szCs w:val="18"/>
              </w:rPr>
              <w:t>Technical and operational record keeping</w:t>
            </w:r>
          </w:p>
          <w:p w14:paraId="4A894DFB" w14:textId="2486598A" w:rsidR="00AB0507" w:rsidRPr="00BC29AD" w:rsidRDefault="00AB0507" w:rsidP="00AB0507">
            <w:pPr>
              <w:pStyle w:val="ListParagraph"/>
              <w:numPr>
                <w:ilvl w:val="0"/>
                <w:numId w:val="18"/>
              </w:numPr>
              <w:spacing w:after="0" w:line="240" w:lineRule="auto"/>
              <w:ind w:left="342"/>
              <w:rPr>
                <w:rFonts w:cs="Calibri"/>
                <w:spacing w:val="-2"/>
                <w:sz w:val="18"/>
                <w:szCs w:val="18"/>
              </w:rPr>
            </w:pPr>
            <w:r w:rsidRPr="00BC29AD">
              <w:rPr>
                <w:rFonts w:cs="Times New Roman"/>
                <w:sz w:val="18"/>
                <w:szCs w:val="18"/>
              </w:rPr>
              <w:t>Existence of mechanisms for accountability and participation</w:t>
            </w:r>
          </w:p>
        </w:tc>
        <w:tc>
          <w:tcPr>
            <w:tcW w:w="4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C5E2E" w14:textId="77777777"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keeps a  register of users</w:t>
            </w:r>
          </w:p>
          <w:p w14:paraId="2925CCF3" w14:textId="77777777"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keeps records on key decision points from executive meetings</w:t>
            </w:r>
          </w:p>
          <w:p w14:paraId="2A344FA2" w14:textId="77777777"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holds meetings with users</w:t>
            </w:r>
          </w:p>
          <w:p w14:paraId="33DFCD06" w14:textId="77777777"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informs users about status of the O&amp;M fund</w:t>
            </w:r>
          </w:p>
          <w:p w14:paraId="10816456" w14:textId="2BC92A7C"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enforces local water user rules</w:t>
            </w:r>
          </w:p>
        </w:tc>
        <w:tc>
          <w:tcPr>
            <w:tcW w:w="4290" w:type="dxa"/>
            <w:tcBorders>
              <w:top w:val="single" w:sz="4" w:space="0" w:color="auto"/>
              <w:left w:val="single" w:sz="4" w:space="0" w:color="auto"/>
              <w:right w:val="single" w:sz="4" w:space="0" w:color="auto"/>
            </w:tcBorders>
            <w:shd w:val="clear" w:color="auto" w:fill="FFFFFF" w:themeFill="background1"/>
          </w:tcPr>
          <w:p w14:paraId="4EF2FC07" w14:textId="77777777" w:rsidR="00AB0507" w:rsidRPr="00BC29AD" w:rsidRDefault="00AB0507" w:rsidP="00AB0507">
            <w:pPr>
              <w:pStyle w:val="ListParagraph"/>
              <w:numPr>
                <w:ilvl w:val="0"/>
                <w:numId w:val="18"/>
              </w:numPr>
              <w:spacing w:after="0" w:line="240" w:lineRule="auto"/>
              <w:ind w:left="402"/>
              <w:rPr>
                <w:rFonts w:cs="Calibri"/>
                <w:spacing w:val="-2"/>
                <w:sz w:val="18"/>
                <w:szCs w:val="18"/>
              </w:rPr>
            </w:pPr>
            <w:r w:rsidRPr="00BC29AD">
              <w:rPr>
                <w:sz w:val="18"/>
                <w:szCs w:val="18"/>
              </w:rPr>
              <w:t>Technical, administrative and financial reports are kept and read out to the community at least once every six months</w:t>
            </w:r>
          </w:p>
        </w:tc>
      </w:tr>
      <w:tr w:rsidR="00AB0507" w:rsidRPr="00BC29AD" w14:paraId="4181D360" w14:textId="77777777" w:rsidTr="00BC29AD">
        <w:trPr>
          <w:trHeight w:val="815"/>
        </w:trPr>
        <w:tc>
          <w:tcPr>
            <w:tcW w:w="1548" w:type="dxa"/>
            <w:tcBorders>
              <w:top w:val="single" w:sz="4" w:space="0" w:color="auto"/>
              <w:left w:val="single" w:sz="4" w:space="0" w:color="auto"/>
              <w:right w:val="single" w:sz="4" w:space="0" w:color="auto"/>
            </w:tcBorders>
            <w:shd w:val="clear" w:color="auto" w:fill="4F81BD" w:themeFill="accent1"/>
          </w:tcPr>
          <w:p w14:paraId="18D698FF" w14:textId="77777777" w:rsidR="00AB0507" w:rsidRPr="00BC29AD" w:rsidRDefault="00AB0507" w:rsidP="009E04C4">
            <w:pPr>
              <w:spacing w:after="0" w:line="240" w:lineRule="auto"/>
              <w:rPr>
                <w:rFonts w:cs="Calibri"/>
                <w:color w:val="FFFFFF" w:themeColor="background1"/>
                <w:spacing w:val="-2"/>
                <w:sz w:val="18"/>
                <w:szCs w:val="18"/>
              </w:rPr>
            </w:pPr>
            <w:r w:rsidRPr="00BC29AD">
              <w:rPr>
                <w:rFonts w:cs="Calibri"/>
                <w:color w:val="FFFFFF" w:themeColor="background1"/>
                <w:spacing w:val="-2"/>
                <w:sz w:val="18"/>
                <w:szCs w:val="18"/>
              </w:rPr>
              <w:t>Financial management</w:t>
            </w:r>
          </w:p>
        </w:tc>
        <w:tc>
          <w:tcPr>
            <w:tcW w:w="4290" w:type="dxa"/>
            <w:tcBorders>
              <w:top w:val="single" w:sz="4" w:space="0" w:color="auto"/>
              <w:left w:val="single" w:sz="4" w:space="0" w:color="auto"/>
              <w:right w:val="single" w:sz="4" w:space="0" w:color="auto"/>
            </w:tcBorders>
            <w:shd w:val="clear" w:color="auto" w:fill="FFFFFF" w:themeFill="background1"/>
          </w:tcPr>
          <w:p w14:paraId="32640160" w14:textId="77777777" w:rsidR="00AB0507" w:rsidRPr="00BC29AD" w:rsidRDefault="00AB0507" w:rsidP="00AB0507">
            <w:pPr>
              <w:pStyle w:val="ListParagraph"/>
              <w:numPr>
                <w:ilvl w:val="0"/>
                <w:numId w:val="18"/>
              </w:numPr>
              <w:spacing w:after="0" w:line="240" w:lineRule="auto"/>
              <w:ind w:left="342"/>
              <w:rPr>
                <w:sz w:val="18"/>
                <w:szCs w:val="18"/>
              </w:rPr>
            </w:pPr>
            <w:r w:rsidRPr="00BC29AD">
              <w:rPr>
                <w:sz w:val="18"/>
                <w:szCs w:val="18"/>
              </w:rPr>
              <w:t>Financial record keeping</w:t>
            </w:r>
          </w:p>
          <w:p w14:paraId="41958FE6" w14:textId="77777777" w:rsidR="00AB0507" w:rsidRPr="00BC29AD" w:rsidRDefault="00AB0507" w:rsidP="00AB0507">
            <w:pPr>
              <w:pStyle w:val="ListParagraph"/>
              <w:numPr>
                <w:ilvl w:val="0"/>
                <w:numId w:val="18"/>
              </w:numPr>
              <w:spacing w:after="0" w:line="240" w:lineRule="auto"/>
              <w:ind w:left="342"/>
              <w:rPr>
                <w:rFonts w:cs="Calibri"/>
                <w:spacing w:val="-2"/>
                <w:sz w:val="18"/>
                <w:szCs w:val="18"/>
              </w:rPr>
            </w:pPr>
            <w:r w:rsidRPr="00BC29AD">
              <w:rPr>
                <w:rFonts w:cs="Calibri"/>
                <w:spacing w:val="-2"/>
                <w:sz w:val="18"/>
                <w:szCs w:val="18"/>
              </w:rPr>
              <w:t>Financial balance</w:t>
            </w:r>
          </w:p>
          <w:p w14:paraId="21BE4419" w14:textId="77777777" w:rsidR="00AB0507" w:rsidRPr="00BC29AD" w:rsidRDefault="00AB0507" w:rsidP="00AB0507">
            <w:pPr>
              <w:pStyle w:val="ListParagraph"/>
              <w:numPr>
                <w:ilvl w:val="0"/>
                <w:numId w:val="18"/>
              </w:numPr>
              <w:spacing w:after="0" w:line="240" w:lineRule="auto"/>
              <w:ind w:left="342"/>
              <w:rPr>
                <w:sz w:val="18"/>
                <w:szCs w:val="18"/>
              </w:rPr>
            </w:pPr>
            <w:r w:rsidRPr="00BC29AD">
              <w:rPr>
                <w:sz w:val="18"/>
                <w:szCs w:val="18"/>
              </w:rPr>
              <w:t>Tariff level</w:t>
            </w:r>
          </w:p>
          <w:p w14:paraId="7BB8221C" w14:textId="1B4728E2" w:rsidR="00AB0507" w:rsidRPr="00BC29AD" w:rsidRDefault="00AB0507" w:rsidP="00AB0507">
            <w:pPr>
              <w:pStyle w:val="ListParagraph"/>
              <w:numPr>
                <w:ilvl w:val="0"/>
                <w:numId w:val="18"/>
              </w:numPr>
              <w:spacing w:after="0" w:line="240" w:lineRule="auto"/>
              <w:ind w:left="342"/>
              <w:rPr>
                <w:sz w:val="18"/>
                <w:szCs w:val="18"/>
              </w:rPr>
            </w:pPr>
            <w:r w:rsidRPr="00BC29AD">
              <w:rPr>
                <w:rFonts w:cs="Calibri"/>
                <w:spacing w:val="-2"/>
                <w:sz w:val="18"/>
                <w:szCs w:val="18"/>
              </w:rPr>
              <w:t>Proportion of users not paying</w:t>
            </w:r>
          </w:p>
        </w:tc>
        <w:tc>
          <w:tcPr>
            <w:tcW w:w="4290" w:type="dxa"/>
            <w:tcBorders>
              <w:top w:val="single" w:sz="4" w:space="0" w:color="auto"/>
              <w:left w:val="single" w:sz="4" w:space="0" w:color="auto"/>
              <w:right w:val="single" w:sz="4" w:space="0" w:color="auto"/>
            </w:tcBorders>
            <w:shd w:val="clear" w:color="auto" w:fill="FFFFFF" w:themeFill="background1"/>
            <w:hideMark/>
          </w:tcPr>
          <w:p w14:paraId="5CE14E5C" w14:textId="77777777"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keeps financial records (of incomes and expenses)</w:t>
            </w:r>
          </w:p>
          <w:p w14:paraId="62018435" w14:textId="4A87F4EA"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collects user fees</w:t>
            </w:r>
          </w:p>
        </w:tc>
        <w:tc>
          <w:tcPr>
            <w:tcW w:w="4290" w:type="dxa"/>
            <w:tcBorders>
              <w:top w:val="single" w:sz="4" w:space="0" w:color="auto"/>
              <w:left w:val="single" w:sz="4" w:space="0" w:color="auto"/>
              <w:right w:val="single" w:sz="4" w:space="0" w:color="auto"/>
            </w:tcBorders>
            <w:shd w:val="clear" w:color="auto" w:fill="FFFFFF" w:themeFill="background1"/>
          </w:tcPr>
          <w:p w14:paraId="255626B1" w14:textId="77777777" w:rsidR="00AB0507" w:rsidRPr="00BC29AD" w:rsidRDefault="00AB0507" w:rsidP="00AB0507">
            <w:pPr>
              <w:pStyle w:val="ListParagraph"/>
              <w:numPr>
                <w:ilvl w:val="0"/>
                <w:numId w:val="18"/>
              </w:numPr>
              <w:spacing w:after="0" w:line="240" w:lineRule="auto"/>
              <w:ind w:left="402"/>
              <w:rPr>
                <w:rFonts w:cs="Calibri"/>
                <w:spacing w:val="-2"/>
                <w:sz w:val="18"/>
                <w:szCs w:val="18"/>
              </w:rPr>
            </w:pPr>
            <w:r w:rsidRPr="00BC29AD">
              <w:rPr>
                <w:sz w:val="18"/>
                <w:szCs w:val="18"/>
              </w:rPr>
              <w:t>There is sound financial management, accounting and auditing</w:t>
            </w:r>
          </w:p>
          <w:p w14:paraId="751725F8" w14:textId="77777777" w:rsidR="00AB0507" w:rsidRPr="00BC29AD" w:rsidRDefault="00AB0507" w:rsidP="00AB0507">
            <w:pPr>
              <w:pStyle w:val="ListParagraph"/>
              <w:numPr>
                <w:ilvl w:val="0"/>
                <w:numId w:val="18"/>
              </w:numPr>
              <w:spacing w:after="0" w:line="240" w:lineRule="auto"/>
              <w:ind w:left="402"/>
              <w:rPr>
                <w:rFonts w:cs="Calibri"/>
                <w:spacing w:val="-2"/>
                <w:sz w:val="18"/>
                <w:szCs w:val="18"/>
              </w:rPr>
            </w:pPr>
            <w:r w:rsidRPr="00BC29AD">
              <w:rPr>
                <w:sz w:val="18"/>
                <w:szCs w:val="18"/>
              </w:rPr>
              <w:t>Annual revenues exceed annual expenditure</w:t>
            </w:r>
          </w:p>
          <w:p w14:paraId="6F39BEA4" w14:textId="14189AD9" w:rsidR="00AB0507" w:rsidRPr="00BC29AD" w:rsidRDefault="00AB0507" w:rsidP="00AB0507">
            <w:pPr>
              <w:pStyle w:val="ListParagraph"/>
              <w:numPr>
                <w:ilvl w:val="0"/>
                <w:numId w:val="18"/>
              </w:numPr>
              <w:spacing w:after="0" w:line="240" w:lineRule="auto"/>
              <w:ind w:left="402"/>
              <w:rPr>
                <w:rFonts w:cs="Calibri"/>
                <w:spacing w:val="-2"/>
                <w:sz w:val="18"/>
                <w:szCs w:val="18"/>
              </w:rPr>
            </w:pPr>
            <w:r w:rsidRPr="00BC29AD">
              <w:rPr>
                <w:sz w:val="18"/>
                <w:szCs w:val="18"/>
              </w:rPr>
              <w:t>Tariff setting is taking into account life-cycle costs</w:t>
            </w:r>
          </w:p>
        </w:tc>
      </w:tr>
      <w:tr w:rsidR="00AB0507" w:rsidRPr="00BC29AD" w14:paraId="6F21400E" w14:textId="77777777" w:rsidTr="00BC29AD">
        <w:trPr>
          <w:trHeight w:val="1222"/>
        </w:trPr>
        <w:tc>
          <w:tcPr>
            <w:tcW w:w="1548" w:type="dxa"/>
            <w:tcBorders>
              <w:top w:val="single" w:sz="4" w:space="0" w:color="auto"/>
              <w:left w:val="single" w:sz="4" w:space="0" w:color="auto"/>
              <w:right w:val="single" w:sz="4" w:space="0" w:color="auto"/>
            </w:tcBorders>
            <w:shd w:val="clear" w:color="auto" w:fill="4F81BD" w:themeFill="accent1"/>
          </w:tcPr>
          <w:p w14:paraId="1E25D670" w14:textId="77777777" w:rsidR="00AB0507" w:rsidRPr="00BC29AD" w:rsidRDefault="00AB0507" w:rsidP="009E04C4">
            <w:pPr>
              <w:spacing w:after="0" w:line="240" w:lineRule="auto"/>
              <w:rPr>
                <w:rFonts w:cs="Calibri"/>
                <w:color w:val="FFFFFF" w:themeColor="background1"/>
                <w:spacing w:val="-2"/>
                <w:sz w:val="18"/>
                <w:szCs w:val="18"/>
              </w:rPr>
            </w:pPr>
            <w:r w:rsidRPr="00BC29AD">
              <w:rPr>
                <w:rFonts w:cs="Calibri"/>
                <w:color w:val="FFFFFF" w:themeColor="background1"/>
                <w:spacing w:val="-2"/>
                <w:sz w:val="18"/>
                <w:szCs w:val="18"/>
              </w:rPr>
              <w:t>Technical / operational management</w:t>
            </w:r>
          </w:p>
        </w:tc>
        <w:tc>
          <w:tcPr>
            <w:tcW w:w="4290" w:type="dxa"/>
            <w:tcBorders>
              <w:top w:val="single" w:sz="4" w:space="0" w:color="auto"/>
              <w:left w:val="single" w:sz="4" w:space="0" w:color="auto"/>
              <w:right w:val="single" w:sz="4" w:space="0" w:color="auto"/>
            </w:tcBorders>
            <w:shd w:val="clear" w:color="auto" w:fill="FFFFFF" w:themeFill="background1"/>
          </w:tcPr>
          <w:p w14:paraId="2CA04A6D" w14:textId="77777777" w:rsidR="00AB0507" w:rsidRPr="00BC29AD" w:rsidRDefault="00AB0507" w:rsidP="00AB0507">
            <w:pPr>
              <w:pStyle w:val="ListParagraph"/>
              <w:numPr>
                <w:ilvl w:val="0"/>
                <w:numId w:val="18"/>
              </w:numPr>
              <w:spacing w:after="0" w:line="240" w:lineRule="auto"/>
              <w:ind w:left="342"/>
              <w:rPr>
                <w:sz w:val="18"/>
                <w:szCs w:val="18"/>
              </w:rPr>
            </w:pPr>
            <w:r w:rsidRPr="00BC29AD">
              <w:rPr>
                <w:sz w:val="18"/>
                <w:szCs w:val="18"/>
              </w:rPr>
              <w:t>Presence of technical manuals</w:t>
            </w:r>
          </w:p>
        </w:tc>
        <w:tc>
          <w:tcPr>
            <w:tcW w:w="4290" w:type="dxa"/>
            <w:tcBorders>
              <w:top w:val="single" w:sz="4" w:space="0" w:color="auto"/>
              <w:left w:val="single" w:sz="4" w:space="0" w:color="auto"/>
              <w:right w:val="single" w:sz="4" w:space="0" w:color="auto"/>
            </w:tcBorders>
            <w:shd w:val="clear" w:color="auto" w:fill="FFFFFF" w:themeFill="background1"/>
            <w:hideMark/>
          </w:tcPr>
          <w:p w14:paraId="7F5BBB8D" w14:textId="77777777"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ensures that preventive maintenance is carried out</w:t>
            </w:r>
          </w:p>
          <w:p w14:paraId="1C53F2DE" w14:textId="7D370D47" w:rsidR="00AB0507" w:rsidRPr="00BC29AD" w:rsidRDefault="00AB0507" w:rsidP="00AB0507">
            <w:pPr>
              <w:pStyle w:val="ListParagraph"/>
              <w:numPr>
                <w:ilvl w:val="0"/>
                <w:numId w:val="18"/>
              </w:numPr>
              <w:spacing w:after="0" w:line="240" w:lineRule="auto"/>
              <w:ind w:left="372"/>
              <w:rPr>
                <w:rFonts w:cs="Calibri"/>
                <w:spacing w:val="-2"/>
                <w:sz w:val="18"/>
                <w:szCs w:val="18"/>
              </w:rPr>
            </w:pPr>
            <w:r w:rsidRPr="00BC29AD">
              <w:rPr>
                <w:rFonts w:cs="Calibri"/>
                <w:spacing w:val="-2"/>
                <w:sz w:val="18"/>
                <w:szCs w:val="18"/>
              </w:rPr>
              <w:t>WUC brings in Hand Pump Mechanics to carry out minor repairs</w:t>
            </w:r>
          </w:p>
        </w:tc>
        <w:tc>
          <w:tcPr>
            <w:tcW w:w="4290" w:type="dxa"/>
            <w:tcBorders>
              <w:top w:val="single" w:sz="4" w:space="0" w:color="auto"/>
              <w:left w:val="single" w:sz="4" w:space="0" w:color="auto"/>
              <w:right w:val="single" w:sz="4" w:space="0" w:color="auto"/>
            </w:tcBorders>
            <w:shd w:val="clear" w:color="auto" w:fill="FFFFFF" w:themeFill="background1"/>
          </w:tcPr>
          <w:p w14:paraId="6B7CE382" w14:textId="77777777" w:rsidR="00AB0507" w:rsidRPr="00BC29AD" w:rsidRDefault="00AB0507" w:rsidP="00AB0507">
            <w:pPr>
              <w:pStyle w:val="ListParagraph"/>
              <w:numPr>
                <w:ilvl w:val="0"/>
                <w:numId w:val="18"/>
              </w:numPr>
              <w:spacing w:after="0" w:line="240" w:lineRule="auto"/>
              <w:ind w:left="402"/>
              <w:rPr>
                <w:sz w:val="18"/>
                <w:szCs w:val="18"/>
              </w:rPr>
            </w:pPr>
            <w:r w:rsidRPr="00BC29AD">
              <w:rPr>
                <w:sz w:val="18"/>
                <w:szCs w:val="18"/>
              </w:rPr>
              <w:t>Corrective maintenance is executed in an effective way</w:t>
            </w:r>
          </w:p>
          <w:p w14:paraId="3130F3EE" w14:textId="77777777" w:rsidR="00AB0507" w:rsidRPr="00BC29AD" w:rsidRDefault="00AB0507" w:rsidP="00AB0507">
            <w:pPr>
              <w:pStyle w:val="ListParagraph"/>
              <w:numPr>
                <w:ilvl w:val="0"/>
                <w:numId w:val="18"/>
              </w:numPr>
              <w:spacing w:after="0" w:line="240" w:lineRule="auto"/>
              <w:ind w:left="402"/>
              <w:rPr>
                <w:sz w:val="18"/>
                <w:szCs w:val="18"/>
              </w:rPr>
            </w:pPr>
            <w:r w:rsidRPr="00BC29AD">
              <w:rPr>
                <w:sz w:val="18"/>
                <w:szCs w:val="18"/>
              </w:rPr>
              <w:t>Periodic maintenance is executed in an effective way</w:t>
            </w:r>
          </w:p>
          <w:p w14:paraId="3E0AB51F" w14:textId="77777777" w:rsidR="00AB0507" w:rsidRPr="00BC29AD" w:rsidRDefault="00AB0507" w:rsidP="00AB0507">
            <w:pPr>
              <w:pStyle w:val="ListParagraph"/>
              <w:numPr>
                <w:ilvl w:val="0"/>
                <w:numId w:val="18"/>
              </w:numPr>
              <w:spacing w:after="0" w:line="240" w:lineRule="auto"/>
              <w:ind w:left="402"/>
              <w:rPr>
                <w:rFonts w:cs="Calibri"/>
                <w:spacing w:val="-2"/>
                <w:sz w:val="18"/>
                <w:szCs w:val="18"/>
              </w:rPr>
            </w:pPr>
            <w:r w:rsidRPr="00BC29AD">
              <w:rPr>
                <w:sz w:val="18"/>
                <w:szCs w:val="18"/>
              </w:rPr>
              <w:t>Area mechanics are available to enable maintenance</w:t>
            </w:r>
          </w:p>
          <w:p w14:paraId="3BD340ED" w14:textId="77777777" w:rsidR="00AB0507" w:rsidRPr="00BC29AD" w:rsidRDefault="00AB0507" w:rsidP="00AB0507">
            <w:pPr>
              <w:pStyle w:val="ListParagraph"/>
              <w:numPr>
                <w:ilvl w:val="0"/>
                <w:numId w:val="18"/>
              </w:numPr>
              <w:spacing w:after="0" w:line="240" w:lineRule="auto"/>
              <w:ind w:left="402"/>
              <w:rPr>
                <w:rFonts w:cs="Calibri"/>
                <w:spacing w:val="-2"/>
                <w:sz w:val="18"/>
                <w:szCs w:val="18"/>
              </w:rPr>
            </w:pPr>
            <w:r w:rsidRPr="00BC29AD">
              <w:rPr>
                <w:sz w:val="18"/>
                <w:szCs w:val="18"/>
              </w:rPr>
              <w:t>Spare parts are available to enable maintenance</w:t>
            </w:r>
          </w:p>
          <w:p w14:paraId="5B98FC1F" w14:textId="326E95B2" w:rsidR="00AB0507" w:rsidRPr="00BC29AD" w:rsidRDefault="00AB0507" w:rsidP="00AB0507">
            <w:pPr>
              <w:pStyle w:val="ListParagraph"/>
              <w:numPr>
                <w:ilvl w:val="0"/>
                <w:numId w:val="18"/>
              </w:numPr>
              <w:spacing w:after="0" w:line="240" w:lineRule="auto"/>
              <w:ind w:left="402"/>
              <w:rPr>
                <w:rFonts w:cs="Times New Roman"/>
                <w:sz w:val="18"/>
                <w:szCs w:val="18"/>
              </w:rPr>
            </w:pPr>
            <w:r w:rsidRPr="00BC29AD">
              <w:rPr>
                <w:sz w:val="18"/>
                <w:szCs w:val="18"/>
              </w:rPr>
              <w:t>Water quality sampling and testing is done</w:t>
            </w:r>
          </w:p>
        </w:tc>
      </w:tr>
    </w:tbl>
    <w:p w14:paraId="6AF66F7A" w14:textId="7A4A7AB5" w:rsidR="00D233D9" w:rsidRDefault="00D233D9" w:rsidP="004F001D"/>
    <w:p w14:paraId="16526E5D" w14:textId="77777777" w:rsidR="00D233D9" w:rsidRDefault="00D233D9">
      <w:r>
        <w:br w:type="page"/>
      </w:r>
    </w:p>
    <w:p w14:paraId="6BD8E15C" w14:textId="64EDFE44" w:rsidR="004F001D" w:rsidRDefault="00D233D9" w:rsidP="004F001D">
      <w:r>
        <w:lastRenderedPageBreak/>
        <w:t xml:space="preserve">Annex 2: </w:t>
      </w:r>
      <w:r w:rsidR="00AB0507">
        <w:t>Examples of s</w:t>
      </w:r>
      <w:r>
        <w:t>ervice authority indicators</w:t>
      </w: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5625"/>
        <w:gridCol w:w="5625"/>
      </w:tblGrid>
      <w:tr w:rsidR="00AB0507" w:rsidRPr="00BC29AD" w14:paraId="7BABAC64" w14:textId="77777777" w:rsidTr="00BC29AD">
        <w:trPr>
          <w:trHeight w:val="659"/>
          <w:tblHeader/>
        </w:trPr>
        <w:tc>
          <w:tcPr>
            <w:tcW w:w="2448"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1D61FEA" w14:textId="77777777" w:rsidR="00AB0507" w:rsidRPr="00BC29AD" w:rsidRDefault="00AB0507" w:rsidP="003219D8">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 xml:space="preserve">Indicator performance Service Authority </w:t>
            </w:r>
          </w:p>
        </w:tc>
        <w:tc>
          <w:tcPr>
            <w:tcW w:w="562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E931305" w14:textId="77777777" w:rsidR="00AB0507" w:rsidRPr="00BC29AD" w:rsidRDefault="00AB0507" w:rsidP="003219D8">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Uganda</w:t>
            </w:r>
          </w:p>
        </w:tc>
        <w:tc>
          <w:tcPr>
            <w:tcW w:w="5625" w:type="dxa"/>
            <w:tcBorders>
              <w:top w:val="single" w:sz="4" w:space="0" w:color="auto"/>
              <w:left w:val="single" w:sz="4" w:space="0" w:color="auto"/>
              <w:bottom w:val="single" w:sz="4" w:space="0" w:color="auto"/>
              <w:right w:val="single" w:sz="4" w:space="0" w:color="auto"/>
            </w:tcBorders>
            <w:shd w:val="clear" w:color="auto" w:fill="4F81BD" w:themeFill="accent1"/>
          </w:tcPr>
          <w:p w14:paraId="4B4D9DCD" w14:textId="77777777" w:rsidR="00AB0507" w:rsidRPr="00BC29AD" w:rsidRDefault="00AB0507" w:rsidP="003219D8">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Ghana</w:t>
            </w:r>
          </w:p>
        </w:tc>
      </w:tr>
      <w:tr w:rsidR="00BC29AD" w:rsidRPr="00BC29AD" w14:paraId="1C2B1B25" w14:textId="77777777" w:rsidTr="009F7F83">
        <w:trPr>
          <w:trHeight w:val="570"/>
        </w:trPr>
        <w:tc>
          <w:tcPr>
            <w:tcW w:w="2448" w:type="dxa"/>
            <w:vMerge w:val="restart"/>
            <w:tcBorders>
              <w:top w:val="single" w:sz="4" w:space="0" w:color="auto"/>
              <w:left w:val="single" w:sz="4" w:space="0" w:color="auto"/>
              <w:right w:val="single" w:sz="4" w:space="0" w:color="auto"/>
            </w:tcBorders>
            <w:shd w:val="clear" w:color="auto" w:fill="4F81BD" w:themeFill="accent1"/>
            <w:hideMark/>
          </w:tcPr>
          <w:p w14:paraId="04018041" w14:textId="77777777" w:rsidR="00BC29AD" w:rsidRPr="00BC29AD" w:rsidRDefault="00BC29AD" w:rsidP="003219D8">
            <w:pPr>
              <w:spacing w:after="0" w:line="240" w:lineRule="auto"/>
              <w:rPr>
                <w:rFonts w:cs="Calibri"/>
                <w:b/>
                <w:color w:val="FFFFFF" w:themeColor="background1"/>
                <w:spacing w:val="-2"/>
                <w:sz w:val="18"/>
                <w:szCs w:val="18"/>
              </w:rPr>
            </w:pPr>
            <w:r w:rsidRPr="00BC29AD">
              <w:rPr>
                <w:b/>
                <w:color w:val="FFFFFF" w:themeColor="background1"/>
                <w:sz w:val="18"/>
                <w:szCs w:val="18"/>
              </w:rPr>
              <w:t>resourcing of service authority</w:t>
            </w:r>
          </w:p>
        </w:tc>
        <w:tc>
          <w:tcPr>
            <w:tcW w:w="5625" w:type="dxa"/>
            <w:vMerge w:val="restart"/>
            <w:tcBorders>
              <w:top w:val="single" w:sz="4" w:space="0" w:color="auto"/>
              <w:left w:val="single" w:sz="4" w:space="0" w:color="auto"/>
              <w:right w:val="single" w:sz="4" w:space="0" w:color="auto"/>
            </w:tcBorders>
            <w:hideMark/>
          </w:tcPr>
          <w:p w14:paraId="48A1DDC2" w14:textId="77777777" w:rsidR="00BC29AD" w:rsidRPr="00BC29AD" w:rsidRDefault="00BC29AD" w:rsidP="00BC29AD">
            <w:pPr>
              <w:pStyle w:val="ListParagraph"/>
              <w:numPr>
                <w:ilvl w:val="0"/>
                <w:numId w:val="19"/>
              </w:numPr>
              <w:spacing w:after="0"/>
              <w:ind w:left="432"/>
              <w:rPr>
                <w:rFonts w:cs="Calibri"/>
                <w:spacing w:val="-2"/>
                <w:sz w:val="18"/>
                <w:szCs w:val="18"/>
              </w:rPr>
            </w:pPr>
            <w:r w:rsidRPr="00BC29AD">
              <w:rPr>
                <w:rFonts w:cs="Calibri"/>
                <w:spacing w:val="-2"/>
                <w:sz w:val="18"/>
                <w:szCs w:val="18"/>
              </w:rPr>
              <w:t>Resources of the District Water Office (DWO) in terms of staff</w:t>
            </w:r>
          </w:p>
        </w:tc>
        <w:tc>
          <w:tcPr>
            <w:tcW w:w="5625" w:type="dxa"/>
            <w:tcBorders>
              <w:top w:val="single" w:sz="4" w:space="0" w:color="auto"/>
              <w:left w:val="single" w:sz="4" w:space="0" w:color="auto"/>
              <w:right w:val="single" w:sz="4" w:space="0" w:color="auto"/>
            </w:tcBorders>
          </w:tcPr>
          <w:p w14:paraId="04C53266" w14:textId="18C4758D" w:rsidR="00BC29AD" w:rsidRPr="00BC29AD" w:rsidRDefault="00BC29AD" w:rsidP="00BC29AD">
            <w:pPr>
              <w:pStyle w:val="ListParagraph"/>
              <w:numPr>
                <w:ilvl w:val="0"/>
                <w:numId w:val="19"/>
              </w:numPr>
              <w:spacing w:after="0"/>
              <w:ind w:left="342"/>
              <w:rPr>
                <w:rFonts w:cs="Calibri"/>
                <w:spacing w:val="-2"/>
                <w:sz w:val="18"/>
                <w:szCs w:val="18"/>
              </w:rPr>
            </w:pPr>
            <w:r w:rsidRPr="00BC29AD">
              <w:rPr>
                <w:sz w:val="18"/>
                <w:szCs w:val="18"/>
              </w:rPr>
              <w:t>Districts are able to allocate and utilise financial resources for water and sanitation services</w:t>
            </w:r>
          </w:p>
        </w:tc>
      </w:tr>
      <w:tr w:rsidR="00BC29AD" w:rsidRPr="00BC29AD" w14:paraId="5CD07E31" w14:textId="77777777" w:rsidTr="00CD28A5">
        <w:trPr>
          <w:trHeight w:val="570"/>
        </w:trPr>
        <w:tc>
          <w:tcPr>
            <w:tcW w:w="2448" w:type="dxa"/>
            <w:vMerge/>
            <w:tcBorders>
              <w:left w:val="single" w:sz="4" w:space="0" w:color="auto"/>
              <w:bottom w:val="single" w:sz="4" w:space="0" w:color="auto"/>
              <w:right w:val="single" w:sz="4" w:space="0" w:color="auto"/>
            </w:tcBorders>
            <w:shd w:val="clear" w:color="auto" w:fill="4F81BD" w:themeFill="accent1"/>
          </w:tcPr>
          <w:p w14:paraId="6CAF61B4" w14:textId="77777777" w:rsidR="00BC29AD" w:rsidRPr="00BC29AD" w:rsidRDefault="00BC29AD" w:rsidP="003219D8">
            <w:pPr>
              <w:spacing w:after="0" w:line="240" w:lineRule="auto"/>
              <w:rPr>
                <w:b/>
                <w:color w:val="FFFFFF" w:themeColor="background1"/>
                <w:sz w:val="18"/>
                <w:szCs w:val="18"/>
              </w:rPr>
            </w:pPr>
          </w:p>
        </w:tc>
        <w:tc>
          <w:tcPr>
            <w:tcW w:w="5625" w:type="dxa"/>
            <w:vMerge/>
            <w:tcBorders>
              <w:left w:val="single" w:sz="4" w:space="0" w:color="auto"/>
              <w:right w:val="single" w:sz="4" w:space="0" w:color="auto"/>
            </w:tcBorders>
          </w:tcPr>
          <w:p w14:paraId="1F442789" w14:textId="77777777" w:rsidR="00BC29AD" w:rsidRPr="00BC29AD" w:rsidRDefault="00BC29AD" w:rsidP="00BC29AD">
            <w:pPr>
              <w:pStyle w:val="ListParagraph"/>
              <w:numPr>
                <w:ilvl w:val="0"/>
                <w:numId w:val="19"/>
              </w:numPr>
              <w:spacing w:after="0"/>
              <w:ind w:left="432"/>
              <w:rPr>
                <w:rFonts w:cs="Calibri"/>
                <w:spacing w:val="-2"/>
                <w:sz w:val="18"/>
                <w:szCs w:val="18"/>
              </w:rPr>
            </w:pPr>
          </w:p>
        </w:tc>
        <w:tc>
          <w:tcPr>
            <w:tcW w:w="5625" w:type="dxa"/>
            <w:vMerge w:val="restart"/>
            <w:tcBorders>
              <w:top w:val="single" w:sz="4" w:space="0" w:color="auto"/>
              <w:left w:val="single" w:sz="4" w:space="0" w:color="auto"/>
              <w:right w:val="single" w:sz="4" w:space="0" w:color="auto"/>
            </w:tcBorders>
          </w:tcPr>
          <w:p w14:paraId="0ED79FEE" w14:textId="77777777" w:rsidR="00BC29AD" w:rsidRPr="00BC29AD" w:rsidRDefault="00BC29AD" w:rsidP="00BC29AD">
            <w:pPr>
              <w:pStyle w:val="ListParagraph"/>
              <w:spacing w:after="0"/>
              <w:ind w:left="342"/>
              <w:rPr>
                <w:rFonts w:cs="Calibri"/>
                <w:spacing w:val="-2"/>
                <w:sz w:val="18"/>
                <w:szCs w:val="18"/>
              </w:rPr>
            </w:pPr>
          </w:p>
          <w:p w14:paraId="570C52F7" w14:textId="77777777" w:rsidR="00BC29AD" w:rsidRPr="00BC29AD" w:rsidRDefault="00BC29AD" w:rsidP="00BC29AD">
            <w:pPr>
              <w:pStyle w:val="ListParagraph"/>
              <w:numPr>
                <w:ilvl w:val="0"/>
                <w:numId w:val="19"/>
              </w:numPr>
              <w:spacing w:after="0"/>
              <w:ind w:left="342"/>
              <w:rPr>
                <w:rFonts w:cs="Calibri"/>
                <w:spacing w:val="-2"/>
                <w:sz w:val="18"/>
                <w:szCs w:val="18"/>
              </w:rPr>
            </w:pPr>
            <w:r w:rsidRPr="00BC29AD">
              <w:rPr>
                <w:sz w:val="18"/>
                <w:szCs w:val="18"/>
              </w:rPr>
              <w:t>There is a well-resourced DWST, consisting of 3 well qualified and experienced staff members, receiving the needed support by CWSA and MMDA.</w:t>
            </w:r>
          </w:p>
          <w:p w14:paraId="14AD70E3" w14:textId="77777777" w:rsidR="00BC29AD" w:rsidRPr="00BC29AD" w:rsidRDefault="00BC29AD" w:rsidP="00BC29AD">
            <w:pPr>
              <w:spacing w:after="0"/>
              <w:rPr>
                <w:sz w:val="18"/>
                <w:szCs w:val="18"/>
              </w:rPr>
            </w:pPr>
          </w:p>
        </w:tc>
      </w:tr>
      <w:tr w:rsidR="00BC29AD" w:rsidRPr="00BC29AD" w14:paraId="61702AD8" w14:textId="77777777" w:rsidTr="001D0994">
        <w:trPr>
          <w:trHeight w:val="606"/>
        </w:trPr>
        <w:tc>
          <w:tcPr>
            <w:tcW w:w="244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E6F4DE3" w14:textId="77777777" w:rsidR="00BC29AD" w:rsidRPr="00BC29AD" w:rsidRDefault="00BC29AD" w:rsidP="005C2883">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Support to service authority</w:t>
            </w:r>
          </w:p>
        </w:tc>
        <w:tc>
          <w:tcPr>
            <w:tcW w:w="5625" w:type="dxa"/>
            <w:tcBorders>
              <w:top w:val="single" w:sz="4" w:space="0" w:color="auto"/>
              <w:left w:val="single" w:sz="4" w:space="0" w:color="auto"/>
              <w:right w:val="single" w:sz="4" w:space="0" w:color="auto"/>
            </w:tcBorders>
            <w:hideMark/>
          </w:tcPr>
          <w:p w14:paraId="6F0BE430" w14:textId="77777777" w:rsidR="00BC29AD" w:rsidRPr="00BC29AD" w:rsidRDefault="00BC29AD" w:rsidP="005C2883">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Support visit of TSUs to DWO</w:t>
            </w:r>
          </w:p>
          <w:p w14:paraId="363E06C4" w14:textId="77777777" w:rsidR="00BC29AD" w:rsidRPr="00BC29AD" w:rsidRDefault="00BC29AD" w:rsidP="005C2883">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Responsiveness of TSUs to demand from DWO</w:t>
            </w:r>
          </w:p>
          <w:p w14:paraId="04965450" w14:textId="77777777" w:rsidR="00BC29AD" w:rsidRPr="00BC29AD" w:rsidRDefault="00BC29AD" w:rsidP="005C2883">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Capacity of TSUs to respond to DWO demands</w:t>
            </w:r>
          </w:p>
        </w:tc>
        <w:tc>
          <w:tcPr>
            <w:tcW w:w="5625" w:type="dxa"/>
            <w:vMerge/>
            <w:tcBorders>
              <w:left w:val="single" w:sz="4" w:space="0" w:color="auto"/>
              <w:right w:val="single" w:sz="4" w:space="0" w:color="auto"/>
            </w:tcBorders>
          </w:tcPr>
          <w:p w14:paraId="162D4301" w14:textId="77777777" w:rsidR="00BC29AD" w:rsidRPr="00BC29AD" w:rsidRDefault="00BC29AD" w:rsidP="005C2883">
            <w:pPr>
              <w:spacing w:after="0" w:line="240" w:lineRule="auto"/>
              <w:rPr>
                <w:rFonts w:cs="Calibri"/>
                <w:spacing w:val="-2"/>
                <w:sz w:val="18"/>
                <w:szCs w:val="18"/>
              </w:rPr>
            </w:pPr>
          </w:p>
        </w:tc>
      </w:tr>
      <w:tr w:rsidR="00AB0507" w:rsidRPr="00BC29AD" w14:paraId="73D04EAF" w14:textId="77777777" w:rsidTr="00BC29AD">
        <w:trPr>
          <w:trHeight w:val="684"/>
        </w:trPr>
        <w:tc>
          <w:tcPr>
            <w:tcW w:w="2448" w:type="dxa"/>
            <w:tcBorders>
              <w:top w:val="single" w:sz="4" w:space="0" w:color="auto"/>
              <w:left w:val="single" w:sz="4" w:space="0" w:color="auto"/>
              <w:right w:val="single" w:sz="4" w:space="0" w:color="auto"/>
            </w:tcBorders>
            <w:shd w:val="clear" w:color="auto" w:fill="4F81BD" w:themeFill="accent1"/>
            <w:hideMark/>
          </w:tcPr>
          <w:p w14:paraId="5D52C721" w14:textId="77777777" w:rsidR="00AB0507" w:rsidRPr="00BC29AD" w:rsidRDefault="00AB0507" w:rsidP="003219D8">
            <w:pPr>
              <w:spacing w:after="0" w:line="240" w:lineRule="auto"/>
              <w:rPr>
                <w:rFonts w:cs="Calibri"/>
                <w:b/>
                <w:color w:val="FFFFFF" w:themeColor="background1"/>
                <w:spacing w:val="-2"/>
                <w:sz w:val="18"/>
                <w:szCs w:val="18"/>
              </w:rPr>
            </w:pPr>
            <w:r w:rsidRPr="00BC29AD">
              <w:rPr>
                <w:b/>
                <w:color w:val="FFFFFF" w:themeColor="background1"/>
                <w:sz w:val="18"/>
                <w:szCs w:val="18"/>
              </w:rPr>
              <w:t>strategic planning functions</w:t>
            </w:r>
          </w:p>
        </w:tc>
        <w:tc>
          <w:tcPr>
            <w:tcW w:w="5625" w:type="dxa"/>
            <w:tcBorders>
              <w:top w:val="single" w:sz="4" w:space="0" w:color="auto"/>
              <w:left w:val="single" w:sz="4" w:space="0" w:color="auto"/>
              <w:right w:val="single" w:sz="4" w:space="0" w:color="auto"/>
            </w:tcBorders>
            <w:hideMark/>
          </w:tcPr>
          <w:p w14:paraId="4BAE340D" w14:textId="77777777" w:rsidR="00AB0507" w:rsidRPr="00BC29AD" w:rsidRDefault="00AB0507" w:rsidP="00BC29AD">
            <w:pPr>
              <w:pStyle w:val="ListParagraph"/>
              <w:numPr>
                <w:ilvl w:val="0"/>
                <w:numId w:val="19"/>
              </w:numPr>
              <w:spacing w:after="0"/>
              <w:ind w:left="432"/>
              <w:rPr>
                <w:rFonts w:cs="Calibri"/>
                <w:spacing w:val="-2"/>
                <w:sz w:val="18"/>
                <w:szCs w:val="18"/>
              </w:rPr>
            </w:pPr>
            <w:r w:rsidRPr="00BC29AD">
              <w:rPr>
                <w:rFonts w:cs="Calibri"/>
                <w:spacing w:val="-2"/>
                <w:sz w:val="18"/>
                <w:szCs w:val="18"/>
              </w:rPr>
              <w:t>Equitable planning</w:t>
            </w:r>
          </w:p>
        </w:tc>
        <w:tc>
          <w:tcPr>
            <w:tcW w:w="5625" w:type="dxa"/>
            <w:tcBorders>
              <w:top w:val="single" w:sz="4" w:space="0" w:color="auto"/>
              <w:left w:val="single" w:sz="4" w:space="0" w:color="auto"/>
              <w:right w:val="single" w:sz="4" w:space="0" w:color="auto"/>
            </w:tcBorders>
          </w:tcPr>
          <w:p w14:paraId="750FA23F" w14:textId="087FB3D6" w:rsidR="00AB0507" w:rsidRPr="00BC29AD" w:rsidRDefault="00AB0507" w:rsidP="00BC29AD">
            <w:pPr>
              <w:pStyle w:val="ListParagraph"/>
              <w:numPr>
                <w:ilvl w:val="0"/>
                <w:numId w:val="19"/>
              </w:numPr>
              <w:spacing w:after="0"/>
              <w:ind w:left="342"/>
              <w:rPr>
                <w:rFonts w:cs="Calibri"/>
                <w:spacing w:val="-2"/>
                <w:sz w:val="18"/>
                <w:szCs w:val="18"/>
              </w:rPr>
            </w:pPr>
            <w:r w:rsidRPr="00BC29AD">
              <w:rPr>
                <w:sz w:val="18"/>
                <w:szCs w:val="18"/>
              </w:rPr>
              <w:t>District Water and Sanitation Plan is incorporated into Medium Term Development Plans and budget of the assembly, which is used to guide implementation</w:t>
            </w:r>
          </w:p>
        </w:tc>
      </w:tr>
      <w:tr w:rsidR="00AB0507" w:rsidRPr="00BC29AD" w14:paraId="3EF3E943" w14:textId="77777777" w:rsidTr="00BC29AD">
        <w:trPr>
          <w:trHeight w:val="997"/>
        </w:trPr>
        <w:tc>
          <w:tcPr>
            <w:tcW w:w="244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A121062" w14:textId="77777777" w:rsidR="00AB0507" w:rsidRPr="00BC29AD" w:rsidRDefault="00AB0507" w:rsidP="003219D8">
            <w:pPr>
              <w:spacing w:after="0" w:line="240" w:lineRule="auto"/>
              <w:rPr>
                <w:rFonts w:cs="Calibri"/>
                <w:b/>
                <w:color w:val="FFFFFF" w:themeColor="background1"/>
                <w:spacing w:val="-2"/>
                <w:sz w:val="18"/>
                <w:szCs w:val="18"/>
              </w:rPr>
            </w:pPr>
            <w:r w:rsidRPr="00BC29AD">
              <w:rPr>
                <w:b/>
                <w:color w:val="FFFFFF" w:themeColor="background1"/>
                <w:sz w:val="18"/>
                <w:szCs w:val="18"/>
              </w:rPr>
              <w:t>Pre-construction support</w:t>
            </w:r>
          </w:p>
        </w:tc>
        <w:tc>
          <w:tcPr>
            <w:tcW w:w="5625" w:type="dxa"/>
            <w:tcBorders>
              <w:top w:val="single" w:sz="4" w:space="0" w:color="auto"/>
              <w:left w:val="single" w:sz="4" w:space="0" w:color="auto"/>
              <w:right w:val="single" w:sz="4" w:space="0" w:color="auto"/>
            </w:tcBorders>
            <w:hideMark/>
          </w:tcPr>
          <w:p w14:paraId="4BC991D2" w14:textId="77777777" w:rsidR="00AB0507" w:rsidRPr="00BC29AD" w:rsidRDefault="00AB0507"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Signed Memoranda of Understanding (</w:t>
            </w:r>
            <w:proofErr w:type="spellStart"/>
            <w:r w:rsidRPr="00BC29AD">
              <w:rPr>
                <w:rFonts w:cs="Calibri"/>
                <w:spacing w:val="-2"/>
                <w:sz w:val="18"/>
                <w:szCs w:val="18"/>
              </w:rPr>
              <w:t>MoU</w:t>
            </w:r>
            <w:proofErr w:type="spellEnd"/>
            <w:r w:rsidRPr="00BC29AD">
              <w:rPr>
                <w:rFonts w:cs="Calibri"/>
                <w:spacing w:val="-2"/>
                <w:sz w:val="18"/>
                <w:szCs w:val="18"/>
              </w:rPr>
              <w:t>) between Communities, S/Cs and Districts</w:t>
            </w:r>
          </w:p>
          <w:p w14:paraId="0EEC001B" w14:textId="77777777" w:rsidR="00AB0507" w:rsidRPr="00BC29AD" w:rsidRDefault="00AB0507"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Community capital cash contribution</w:t>
            </w:r>
          </w:p>
          <w:p w14:paraId="720B2F2E" w14:textId="0ECCC4FB" w:rsidR="00AB0507" w:rsidRPr="00BC29AD" w:rsidRDefault="00AB0507"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Preparation of a realistic and viable 3 year O&amp;M plan with guidance from the District and Sub-County</w:t>
            </w:r>
          </w:p>
        </w:tc>
        <w:tc>
          <w:tcPr>
            <w:tcW w:w="5625" w:type="dxa"/>
            <w:tcBorders>
              <w:top w:val="single" w:sz="4" w:space="0" w:color="auto"/>
              <w:left w:val="single" w:sz="4" w:space="0" w:color="auto"/>
              <w:right w:val="single" w:sz="4" w:space="0" w:color="auto"/>
            </w:tcBorders>
          </w:tcPr>
          <w:p w14:paraId="321DDEAA" w14:textId="77777777" w:rsidR="00AB0507" w:rsidRPr="00BC29AD" w:rsidRDefault="00AB0507" w:rsidP="00BC29AD">
            <w:pPr>
              <w:spacing w:after="0" w:line="240" w:lineRule="auto"/>
              <w:rPr>
                <w:rFonts w:cs="Calibri"/>
                <w:spacing w:val="-2"/>
                <w:sz w:val="18"/>
                <w:szCs w:val="18"/>
              </w:rPr>
            </w:pPr>
          </w:p>
        </w:tc>
      </w:tr>
      <w:tr w:rsidR="00BC29AD" w:rsidRPr="00BC29AD" w14:paraId="6F8240C6" w14:textId="77777777" w:rsidTr="007E6137">
        <w:trPr>
          <w:trHeight w:val="765"/>
        </w:trPr>
        <w:tc>
          <w:tcPr>
            <w:tcW w:w="2448" w:type="dxa"/>
            <w:vMerge w:val="restart"/>
            <w:tcBorders>
              <w:top w:val="single" w:sz="4" w:space="0" w:color="auto"/>
              <w:left w:val="single" w:sz="4" w:space="0" w:color="auto"/>
              <w:right w:val="single" w:sz="4" w:space="0" w:color="auto"/>
            </w:tcBorders>
            <w:shd w:val="clear" w:color="auto" w:fill="4F81BD" w:themeFill="accent1"/>
            <w:vAlign w:val="center"/>
          </w:tcPr>
          <w:p w14:paraId="3B98ECBE" w14:textId="77777777" w:rsidR="00BC29AD" w:rsidRPr="00BC29AD" w:rsidRDefault="00BC29AD" w:rsidP="003219D8">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Monitoring</w:t>
            </w:r>
          </w:p>
        </w:tc>
        <w:tc>
          <w:tcPr>
            <w:tcW w:w="5625" w:type="dxa"/>
            <w:vMerge w:val="restart"/>
            <w:tcBorders>
              <w:top w:val="single" w:sz="4" w:space="0" w:color="auto"/>
              <w:left w:val="single" w:sz="4" w:space="0" w:color="auto"/>
              <w:right w:val="single" w:sz="4" w:space="0" w:color="auto"/>
            </w:tcBorders>
          </w:tcPr>
          <w:p w14:paraId="709446E5" w14:textId="77777777" w:rsidR="00BC29AD" w:rsidRPr="00BC29AD" w:rsidRDefault="00BC29AD"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Monitoring visits of DWO staff in the field</w:t>
            </w:r>
          </w:p>
          <w:p w14:paraId="0370A3C0" w14:textId="77777777" w:rsidR="00BC29AD" w:rsidRPr="00BC29AD" w:rsidRDefault="00BC29AD" w:rsidP="00BC29AD">
            <w:pPr>
              <w:pStyle w:val="ListParagraph"/>
              <w:numPr>
                <w:ilvl w:val="0"/>
                <w:numId w:val="19"/>
              </w:numPr>
              <w:spacing w:after="0" w:line="220" w:lineRule="exact"/>
              <w:ind w:left="432"/>
              <w:rPr>
                <w:rFonts w:cs="Calibri"/>
                <w:spacing w:val="-2"/>
                <w:sz w:val="18"/>
                <w:szCs w:val="18"/>
              </w:rPr>
            </w:pPr>
            <w:r w:rsidRPr="00BC29AD">
              <w:rPr>
                <w:rFonts w:cs="Calibri"/>
                <w:spacing w:val="-2"/>
                <w:sz w:val="18"/>
                <w:szCs w:val="18"/>
              </w:rPr>
              <w:t>Use of water point functionality data by DWO</w:t>
            </w:r>
          </w:p>
          <w:p w14:paraId="1346A716" w14:textId="77777777" w:rsidR="00BC29AD" w:rsidRPr="00BC29AD" w:rsidRDefault="00BC29AD" w:rsidP="00BC29AD">
            <w:pPr>
              <w:pStyle w:val="ListParagraph"/>
              <w:numPr>
                <w:ilvl w:val="0"/>
                <w:numId w:val="19"/>
              </w:numPr>
              <w:spacing w:after="0" w:line="220" w:lineRule="exact"/>
              <w:ind w:left="432"/>
              <w:rPr>
                <w:rFonts w:cs="Calibri"/>
                <w:spacing w:val="-2"/>
                <w:sz w:val="18"/>
                <w:szCs w:val="18"/>
              </w:rPr>
            </w:pPr>
            <w:r w:rsidRPr="00BC29AD">
              <w:rPr>
                <w:rFonts w:cs="Calibri"/>
                <w:spacing w:val="-2"/>
                <w:sz w:val="18"/>
                <w:szCs w:val="18"/>
              </w:rPr>
              <w:t xml:space="preserve">District has data on water quality monitoring </w:t>
            </w:r>
          </w:p>
          <w:p w14:paraId="1884C286" w14:textId="77777777" w:rsidR="00BC29AD" w:rsidRPr="00BC29AD" w:rsidRDefault="00BC29AD" w:rsidP="00BC29AD">
            <w:pPr>
              <w:pStyle w:val="ListParagraph"/>
              <w:numPr>
                <w:ilvl w:val="0"/>
                <w:numId w:val="19"/>
              </w:numPr>
              <w:spacing w:after="0" w:line="220" w:lineRule="exact"/>
              <w:ind w:left="432"/>
              <w:rPr>
                <w:rFonts w:cs="Calibri"/>
                <w:spacing w:val="-2"/>
                <w:sz w:val="18"/>
                <w:szCs w:val="18"/>
              </w:rPr>
            </w:pPr>
            <w:r w:rsidRPr="00BC29AD">
              <w:rPr>
                <w:rFonts w:cs="Calibri"/>
                <w:spacing w:val="-2"/>
                <w:sz w:val="18"/>
                <w:szCs w:val="18"/>
              </w:rPr>
              <w:t xml:space="preserve">Use of water quality data </w:t>
            </w:r>
          </w:p>
          <w:p w14:paraId="382745C1" w14:textId="77777777" w:rsidR="00BC29AD" w:rsidRPr="00BC29AD" w:rsidRDefault="00BC29AD" w:rsidP="00BC29AD">
            <w:pPr>
              <w:pStyle w:val="ListParagraph"/>
              <w:numPr>
                <w:ilvl w:val="0"/>
                <w:numId w:val="19"/>
              </w:numPr>
              <w:spacing w:after="0" w:line="220" w:lineRule="exact"/>
              <w:ind w:left="432"/>
              <w:rPr>
                <w:rFonts w:cs="Calibri"/>
                <w:spacing w:val="-2"/>
                <w:sz w:val="18"/>
                <w:szCs w:val="18"/>
              </w:rPr>
            </w:pPr>
            <w:r w:rsidRPr="00BC29AD">
              <w:rPr>
                <w:rFonts w:cs="Calibri"/>
                <w:spacing w:val="-2"/>
                <w:sz w:val="18"/>
                <w:szCs w:val="18"/>
              </w:rPr>
              <w:t>Monitoring of WUCs activities by S/C staff</w:t>
            </w:r>
          </w:p>
          <w:p w14:paraId="74BF1A40" w14:textId="55ABC3FF" w:rsidR="00BC29AD" w:rsidRPr="00BC29AD" w:rsidRDefault="00BC29AD" w:rsidP="00BC29AD">
            <w:pPr>
              <w:pStyle w:val="ListParagraph"/>
              <w:numPr>
                <w:ilvl w:val="0"/>
                <w:numId w:val="19"/>
              </w:numPr>
              <w:spacing w:after="0" w:line="220" w:lineRule="exact"/>
              <w:ind w:left="432"/>
              <w:rPr>
                <w:rFonts w:cs="Calibri"/>
                <w:spacing w:val="-2"/>
                <w:sz w:val="18"/>
                <w:szCs w:val="18"/>
              </w:rPr>
            </w:pPr>
            <w:r w:rsidRPr="00BC29AD">
              <w:rPr>
                <w:rFonts w:cs="Calibri"/>
                <w:spacing w:val="-2"/>
                <w:sz w:val="18"/>
                <w:szCs w:val="18"/>
              </w:rPr>
              <w:t>Districts ensuring that construction of new facilities / rehabilitation works are supervised</w:t>
            </w:r>
          </w:p>
        </w:tc>
        <w:tc>
          <w:tcPr>
            <w:tcW w:w="5625" w:type="dxa"/>
            <w:tcBorders>
              <w:top w:val="single" w:sz="4" w:space="0" w:color="auto"/>
              <w:left w:val="single" w:sz="4" w:space="0" w:color="auto"/>
              <w:right w:val="single" w:sz="4" w:space="0" w:color="auto"/>
            </w:tcBorders>
          </w:tcPr>
          <w:p w14:paraId="625EF24C" w14:textId="400D3A07" w:rsidR="00BC29AD" w:rsidRPr="00BC29AD" w:rsidRDefault="00BC29AD" w:rsidP="00BC29AD">
            <w:pPr>
              <w:pStyle w:val="ListParagraph"/>
              <w:numPr>
                <w:ilvl w:val="0"/>
                <w:numId w:val="19"/>
              </w:numPr>
              <w:spacing w:after="0" w:line="220" w:lineRule="exact"/>
              <w:ind w:left="342"/>
              <w:rPr>
                <w:rFonts w:cs="Calibri"/>
                <w:spacing w:val="-2"/>
                <w:sz w:val="18"/>
                <w:szCs w:val="18"/>
              </w:rPr>
            </w:pPr>
            <w:r w:rsidRPr="00BC29AD">
              <w:rPr>
                <w:sz w:val="18"/>
                <w:szCs w:val="18"/>
              </w:rPr>
              <w:t>There are efficient monitoring and data flows</w:t>
            </w:r>
          </w:p>
        </w:tc>
      </w:tr>
      <w:tr w:rsidR="00BC29AD" w:rsidRPr="00BC29AD" w14:paraId="26D64228" w14:textId="77777777" w:rsidTr="007E6137">
        <w:trPr>
          <w:trHeight w:val="765"/>
        </w:trPr>
        <w:tc>
          <w:tcPr>
            <w:tcW w:w="2448" w:type="dxa"/>
            <w:vMerge/>
            <w:tcBorders>
              <w:left w:val="single" w:sz="4" w:space="0" w:color="auto"/>
              <w:bottom w:val="single" w:sz="4" w:space="0" w:color="auto"/>
              <w:right w:val="single" w:sz="4" w:space="0" w:color="auto"/>
            </w:tcBorders>
            <w:shd w:val="clear" w:color="auto" w:fill="4F81BD" w:themeFill="accent1"/>
            <w:vAlign w:val="center"/>
          </w:tcPr>
          <w:p w14:paraId="33D6C47D" w14:textId="77777777" w:rsidR="00BC29AD" w:rsidRPr="00BC29AD" w:rsidRDefault="00BC29AD" w:rsidP="003219D8">
            <w:pPr>
              <w:spacing w:after="0" w:line="240" w:lineRule="auto"/>
              <w:rPr>
                <w:rFonts w:cs="Calibri"/>
                <w:b/>
                <w:color w:val="FFFFFF" w:themeColor="background1"/>
                <w:spacing w:val="-2"/>
                <w:sz w:val="18"/>
                <w:szCs w:val="18"/>
              </w:rPr>
            </w:pPr>
          </w:p>
        </w:tc>
        <w:tc>
          <w:tcPr>
            <w:tcW w:w="5625" w:type="dxa"/>
            <w:vMerge/>
            <w:tcBorders>
              <w:left w:val="single" w:sz="4" w:space="0" w:color="auto"/>
              <w:bottom w:val="single" w:sz="4" w:space="0" w:color="auto"/>
              <w:right w:val="single" w:sz="4" w:space="0" w:color="auto"/>
            </w:tcBorders>
          </w:tcPr>
          <w:p w14:paraId="513CCA99" w14:textId="77777777" w:rsidR="00BC29AD" w:rsidRPr="00BC29AD" w:rsidRDefault="00BC29AD" w:rsidP="00BC29AD">
            <w:pPr>
              <w:pStyle w:val="ListParagraph"/>
              <w:numPr>
                <w:ilvl w:val="0"/>
                <w:numId w:val="19"/>
              </w:numPr>
              <w:spacing w:after="0" w:line="240" w:lineRule="auto"/>
              <w:ind w:left="432"/>
              <w:rPr>
                <w:rFonts w:cs="Calibri"/>
                <w:spacing w:val="-2"/>
                <w:sz w:val="18"/>
                <w:szCs w:val="18"/>
              </w:rPr>
            </w:pPr>
          </w:p>
        </w:tc>
        <w:tc>
          <w:tcPr>
            <w:tcW w:w="5625" w:type="dxa"/>
            <w:vMerge w:val="restart"/>
            <w:tcBorders>
              <w:top w:val="single" w:sz="4" w:space="0" w:color="auto"/>
              <w:left w:val="single" w:sz="4" w:space="0" w:color="auto"/>
              <w:right w:val="single" w:sz="4" w:space="0" w:color="auto"/>
            </w:tcBorders>
          </w:tcPr>
          <w:p w14:paraId="49C5A3C7" w14:textId="77777777" w:rsidR="00BC29AD" w:rsidRPr="00BC29AD" w:rsidRDefault="00BC29AD" w:rsidP="00BC29AD">
            <w:pPr>
              <w:pStyle w:val="ListParagraph"/>
              <w:spacing w:after="0" w:line="220" w:lineRule="exact"/>
              <w:ind w:left="342"/>
              <w:rPr>
                <w:rFonts w:cs="Calibri"/>
                <w:spacing w:val="-2"/>
                <w:sz w:val="18"/>
                <w:szCs w:val="18"/>
              </w:rPr>
            </w:pPr>
          </w:p>
          <w:p w14:paraId="3E28E90D" w14:textId="77777777" w:rsidR="00BC29AD" w:rsidRPr="00BC29AD" w:rsidRDefault="00BC29AD" w:rsidP="00BC29AD">
            <w:pPr>
              <w:pStyle w:val="ListParagraph"/>
              <w:spacing w:after="0" w:line="220" w:lineRule="exact"/>
              <w:ind w:left="342"/>
              <w:rPr>
                <w:rFonts w:cs="Calibri"/>
                <w:spacing w:val="-2"/>
                <w:sz w:val="18"/>
                <w:szCs w:val="18"/>
              </w:rPr>
            </w:pPr>
          </w:p>
          <w:p w14:paraId="5BEA6230" w14:textId="77777777" w:rsidR="00BC29AD" w:rsidRPr="00BC29AD" w:rsidRDefault="00BC29AD" w:rsidP="00BC29AD">
            <w:pPr>
              <w:pStyle w:val="ListParagraph"/>
              <w:numPr>
                <w:ilvl w:val="0"/>
                <w:numId w:val="19"/>
              </w:numPr>
              <w:spacing w:after="0" w:line="220" w:lineRule="exact"/>
              <w:ind w:left="342"/>
              <w:rPr>
                <w:rFonts w:cs="Calibri"/>
                <w:spacing w:val="-2"/>
                <w:sz w:val="18"/>
                <w:szCs w:val="18"/>
              </w:rPr>
            </w:pPr>
            <w:r w:rsidRPr="00BC29AD">
              <w:rPr>
                <w:sz w:val="18"/>
                <w:szCs w:val="18"/>
              </w:rPr>
              <w:t>District Water and Sanitation Team (DWST) monitors O&amp;M of water facilities in terms of financial, technical and administrative performance, including periodic audits, and provides support where needed</w:t>
            </w:r>
          </w:p>
          <w:p w14:paraId="24352B99" w14:textId="77777777" w:rsidR="00BC29AD" w:rsidRPr="00BC29AD" w:rsidRDefault="00BC29AD" w:rsidP="00BC29AD">
            <w:pPr>
              <w:spacing w:after="0" w:line="240" w:lineRule="auto"/>
              <w:ind w:left="342"/>
              <w:rPr>
                <w:sz w:val="18"/>
                <w:szCs w:val="18"/>
              </w:rPr>
            </w:pPr>
          </w:p>
        </w:tc>
      </w:tr>
      <w:tr w:rsidR="00BC29AD" w:rsidRPr="00BC29AD" w14:paraId="6BE7434B" w14:textId="77777777" w:rsidTr="005D3796">
        <w:trPr>
          <w:trHeight w:val="1172"/>
        </w:trPr>
        <w:tc>
          <w:tcPr>
            <w:tcW w:w="244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AFA43F3" w14:textId="77777777" w:rsidR="00BC29AD" w:rsidRPr="00BC29AD" w:rsidRDefault="00BC29AD" w:rsidP="003219D8">
            <w:pPr>
              <w:rPr>
                <w:b/>
                <w:color w:val="FFFFFF" w:themeColor="background1"/>
                <w:sz w:val="18"/>
                <w:szCs w:val="18"/>
              </w:rPr>
            </w:pPr>
            <w:r w:rsidRPr="00BC29AD">
              <w:rPr>
                <w:b/>
                <w:color w:val="FFFFFF" w:themeColor="background1"/>
                <w:sz w:val="18"/>
                <w:szCs w:val="18"/>
              </w:rPr>
              <w:t>Technical assistance to service provider</w:t>
            </w:r>
          </w:p>
          <w:p w14:paraId="0E0D7D99" w14:textId="77777777" w:rsidR="00BC29AD" w:rsidRPr="00BC29AD" w:rsidRDefault="00BC29AD" w:rsidP="003219D8">
            <w:pPr>
              <w:spacing w:after="0" w:line="240" w:lineRule="auto"/>
              <w:rPr>
                <w:rFonts w:cs="Calibri"/>
                <w:b/>
                <w:color w:val="FFFFFF" w:themeColor="background1"/>
                <w:spacing w:val="-2"/>
                <w:sz w:val="18"/>
                <w:szCs w:val="18"/>
              </w:rPr>
            </w:pPr>
          </w:p>
        </w:tc>
        <w:tc>
          <w:tcPr>
            <w:tcW w:w="5625" w:type="dxa"/>
            <w:tcBorders>
              <w:top w:val="single" w:sz="4" w:space="0" w:color="auto"/>
              <w:left w:val="single" w:sz="4" w:space="0" w:color="auto"/>
              <w:right w:val="single" w:sz="4" w:space="0" w:color="auto"/>
            </w:tcBorders>
            <w:hideMark/>
          </w:tcPr>
          <w:p w14:paraId="29CBDCEA" w14:textId="77777777" w:rsidR="00BC29AD" w:rsidRPr="00BC29AD" w:rsidRDefault="00BC29AD"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 xml:space="preserve">The DWO ensures that capacity of the WUC is built </w:t>
            </w:r>
          </w:p>
          <w:p w14:paraId="0CE6CE62" w14:textId="77777777" w:rsidR="00BC29AD" w:rsidRPr="00BC29AD" w:rsidRDefault="00BC29AD"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Reactivation of WUCs by the S/C</w:t>
            </w:r>
          </w:p>
          <w:p w14:paraId="0D88431F" w14:textId="77777777" w:rsidR="00BC29AD" w:rsidRPr="00BC29AD" w:rsidRDefault="00BC29AD"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 xml:space="preserve">District ensuring that assessments are conducted on </w:t>
            </w:r>
            <w:proofErr w:type="spellStart"/>
            <w:r w:rsidRPr="00BC29AD">
              <w:rPr>
                <w:rFonts w:cs="Calibri"/>
                <w:spacing w:val="-2"/>
                <w:sz w:val="18"/>
                <w:szCs w:val="18"/>
              </w:rPr>
              <w:t>non functional</w:t>
            </w:r>
            <w:proofErr w:type="spellEnd"/>
            <w:r w:rsidRPr="00BC29AD">
              <w:rPr>
                <w:rFonts w:cs="Calibri"/>
                <w:spacing w:val="-2"/>
                <w:sz w:val="18"/>
                <w:szCs w:val="18"/>
              </w:rPr>
              <w:t xml:space="preserve"> water facilities</w:t>
            </w:r>
          </w:p>
          <w:p w14:paraId="3F83B49C" w14:textId="77777777" w:rsidR="00BC29AD" w:rsidRPr="00BC29AD" w:rsidRDefault="00BC29AD"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Engagement of Hand Pump Mechanics Association by DWO</w:t>
            </w:r>
          </w:p>
          <w:p w14:paraId="36981287" w14:textId="3AB48EED" w:rsidR="00BC29AD" w:rsidRPr="00BC29AD" w:rsidRDefault="00BC29AD"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Addressing major breakdowns (beyond communities’ means)</w:t>
            </w:r>
          </w:p>
        </w:tc>
        <w:tc>
          <w:tcPr>
            <w:tcW w:w="5625" w:type="dxa"/>
            <w:vMerge/>
            <w:tcBorders>
              <w:left w:val="single" w:sz="4" w:space="0" w:color="auto"/>
              <w:right w:val="single" w:sz="4" w:space="0" w:color="auto"/>
            </w:tcBorders>
          </w:tcPr>
          <w:p w14:paraId="030B8483" w14:textId="77777777" w:rsidR="00BC29AD" w:rsidRPr="00BC29AD" w:rsidRDefault="00BC29AD" w:rsidP="00BC29AD">
            <w:pPr>
              <w:spacing w:after="0" w:line="240" w:lineRule="auto"/>
              <w:ind w:left="342"/>
              <w:rPr>
                <w:rFonts w:cs="Calibri"/>
                <w:spacing w:val="-2"/>
                <w:sz w:val="18"/>
                <w:szCs w:val="18"/>
              </w:rPr>
            </w:pPr>
          </w:p>
        </w:tc>
      </w:tr>
      <w:tr w:rsidR="00BC29AD" w:rsidRPr="00BC29AD" w14:paraId="0275FB49" w14:textId="77777777" w:rsidTr="00BC29AD">
        <w:trPr>
          <w:trHeight w:val="811"/>
        </w:trPr>
        <w:tc>
          <w:tcPr>
            <w:tcW w:w="244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AB68D14" w14:textId="77777777" w:rsidR="00BC29AD" w:rsidRPr="00BC29AD" w:rsidRDefault="00BC29AD" w:rsidP="003219D8">
            <w:pPr>
              <w:spacing w:after="0" w:line="240" w:lineRule="auto"/>
              <w:rPr>
                <w:rFonts w:cs="Calibri"/>
                <w:b/>
                <w:color w:val="FFFFFF" w:themeColor="background1"/>
                <w:spacing w:val="-2"/>
                <w:sz w:val="18"/>
                <w:szCs w:val="18"/>
              </w:rPr>
            </w:pPr>
            <w:r w:rsidRPr="00BC29AD">
              <w:rPr>
                <w:rFonts w:cs="Calibri"/>
                <w:b/>
                <w:color w:val="FFFFFF" w:themeColor="background1"/>
                <w:spacing w:val="-2"/>
                <w:sz w:val="18"/>
                <w:szCs w:val="18"/>
              </w:rPr>
              <w:t>Coordination and harmonisation functions</w:t>
            </w:r>
          </w:p>
        </w:tc>
        <w:tc>
          <w:tcPr>
            <w:tcW w:w="5625" w:type="dxa"/>
            <w:tcBorders>
              <w:top w:val="single" w:sz="4" w:space="0" w:color="auto"/>
              <w:left w:val="single" w:sz="4" w:space="0" w:color="auto"/>
              <w:bottom w:val="single" w:sz="4" w:space="0" w:color="auto"/>
              <w:right w:val="single" w:sz="4" w:space="0" w:color="auto"/>
            </w:tcBorders>
            <w:hideMark/>
          </w:tcPr>
          <w:p w14:paraId="4440CC85" w14:textId="77777777" w:rsidR="00BC29AD" w:rsidRPr="00BC29AD" w:rsidRDefault="00BC29AD"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Existence of a functional DWSCC</w:t>
            </w:r>
          </w:p>
          <w:p w14:paraId="684EFEC5" w14:textId="04F2D420" w:rsidR="00BC29AD" w:rsidRPr="00BC29AD" w:rsidRDefault="00BC29AD" w:rsidP="00BC29AD">
            <w:pPr>
              <w:pStyle w:val="ListParagraph"/>
              <w:numPr>
                <w:ilvl w:val="0"/>
                <w:numId w:val="19"/>
              </w:numPr>
              <w:spacing w:after="0" w:line="240" w:lineRule="auto"/>
              <w:ind w:left="432"/>
              <w:rPr>
                <w:rFonts w:cs="Calibri"/>
                <w:spacing w:val="-2"/>
                <w:sz w:val="18"/>
                <w:szCs w:val="18"/>
              </w:rPr>
            </w:pPr>
            <w:r w:rsidRPr="00BC29AD">
              <w:rPr>
                <w:rFonts w:cs="Calibri"/>
                <w:spacing w:val="-2"/>
                <w:sz w:val="18"/>
                <w:szCs w:val="18"/>
              </w:rPr>
              <w:t>Coordination of resources at district level</w:t>
            </w:r>
          </w:p>
        </w:tc>
        <w:tc>
          <w:tcPr>
            <w:tcW w:w="5625" w:type="dxa"/>
            <w:tcBorders>
              <w:top w:val="single" w:sz="4" w:space="0" w:color="auto"/>
              <w:left w:val="single" w:sz="4" w:space="0" w:color="auto"/>
              <w:right w:val="single" w:sz="4" w:space="0" w:color="auto"/>
            </w:tcBorders>
          </w:tcPr>
          <w:p w14:paraId="31FDB8C7" w14:textId="77777777" w:rsidR="00BC29AD" w:rsidRPr="00BC29AD" w:rsidRDefault="00BC29AD" w:rsidP="00BC29AD">
            <w:pPr>
              <w:pStyle w:val="ListParagraph"/>
              <w:numPr>
                <w:ilvl w:val="0"/>
                <w:numId w:val="19"/>
              </w:numPr>
              <w:spacing w:after="0" w:line="240" w:lineRule="auto"/>
              <w:ind w:left="342"/>
              <w:rPr>
                <w:rFonts w:cs="Calibri"/>
                <w:spacing w:val="-2"/>
                <w:sz w:val="18"/>
                <w:szCs w:val="18"/>
              </w:rPr>
            </w:pPr>
            <w:r w:rsidRPr="00BC29AD">
              <w:rPr>
                <w:sz w:val="18"/>
                <w:szCs w:val="18"/>
              </w:rPr>
              <w:t>By-laws for the WATSANs and WSDTs exist and are enforced effectively</w:t>
            </w:r>
          </w:p>
          <w:p w14:paraId="3990C8D9" w14:textId="6DA6760B" w:rsidR="00BC29AD" w:rsidRPr="00BC29AD" w:rsidRDefault="00BC29AD" w:rsidP="00BC29AD">
            <w:pPr>
              <w:pStyle w:val="ListParagraph"/>
              <w:numPr>
                <w:ilvl w:val="0"/>
                <w:numId w:val="19"/>
              </w:numPr>
              <w:spacing w:after="0" w:line="240" w:lineRule="auto"/>
              <w:ind w:left="342"/>
              <w:rPr>
                <w:rFonts w:cs="Calibri"/>
                <w:spacing w:val="-2"/>
                <w:sz w:val="18"/>
                <w:szCs w:val="18"/>
              </w:rPr>
            </w:pPr>
            <w:r w:rsidRPr="00BC29AD">
              <w:rPr>
                <w:sz w:val="18"/>
                <w:szCs w:val="18"/>
              </w:rPr>
              <w:t>NGOs and Civil Society Organisations (CSO) providing water facilities do so in coordination with the MMDA</w:t>
            </w:r>
          </w:p>
        </w:tc>
      </w:tr>
    </w:tbl>
    <w:p w14:paraId="73609BF5" w14:textId="77777777" w:rsidR="00D233D9" w:rsidRPr="00915D21" w:rsidRDefault="00D233D9" w:rsidP="004F001D"/>
    <w:sectPr w:rsidR="00D233D9" w:rsidRPr="00915D21" w:rsidSect="0019543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F9292" w14:textId="77777777" w:rsidR="005B3977" w:rsidRDefault="005B3977" w:rsidP="00BC59C6">
      <w:pPr>
        <w:spacing w:after="0" w:line="240" w:lineRule="auto"/>
      </w:pPr>
      <w:r>
        <w:separator/>
      </w:r>
    </w:p>
  </w:endnote>
  <w:endnote w:type="continuationSeparator" w:id="0">
    <w:p w14:paraId="7B2A07F4" w14:textId="77777777" w:rsidR="005B3977" w:rsidRDefault="005B3977" w:rsidP="00BC59C6">
      <w:pPr>
        <w:spacing w:after="0" w:line="240" w:lineRule="auto"/>
      </w:pPr>
      <w:r>
        <w:continuationSeparator/>
      </w:r>
    </w:p>
  </w:endnote>
  <w:endnote w:type="continuationNotice" w:id="1">
    <w:p w14:paraId="4D9EC949" w14:textId="77777777" w:rsidR="005B3977" w:rsidRDefault="005B3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41341"/>
      <w:docPartObj>
        <w:docPartGallery w:val="Page Numbers (Bottom of Page)"/>
        <w:docPartUnique/>
      </w:docPartObj>
    </w:sdtPr>
    <w:sdtEndPr>
      <w:rPr>
        <w:noProof/>
      </w:rPr>
    </w:sdtEndPr>
    <w:sdtContent>
      <w:p w14:paraId="4AD1B314" w14:textId="77777777" w:rsidR="008D702E" w:rsidRDefault="008D702E">
        <w:pPr>
          <w:pStyle w:val="Footer"/>
          <w:jc w:val="center"/>
        </w:pPr>
        <w:r>
          <w:fldChar w:fldCharType="begin"/>
        </w:r>
        <w:r>
          <w:instrText xml:space="preserve"> PAGE   \* MERGEFORMAT </w:instrText>
        </w:r>
        <w:r>
          <w:fldChar w:fldCharType="separate"/>
        </w:r>
        <w:r w:rsidR="00050F23">
          <w:rPr>
            <w:noProof/>
          </w:rPr>
          <w:t>14</w:t>
        </w:r>
        <w:r>
          <w:rPr>
            <w:noProof/>
          </w:rPr>
          <w:fldChar w:fldCharType="end"/>
        </w:r>
      </w:p>
    </w:sdtContent>
  </w:sdt>
  <w:p w14:paraId="69CFEB91" w14:textId="77777777" w:rsidR="008D702E" w:rsidRDefault="008D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1E0AA" w14:textId="77777777" w:rsidR="005B3977" w:rsidRDefault="005B3977" w:rsidP="00BC59C6">
      <w:pPr>
        <w:spacing w:after="0" w:line="240" w:lineRule="auto"/>
      </w:pPr>
      <w:r>
        <w:separator/>
      </w:r>
    </w:p>
  </w:footnote>
  <w:footnote w:type="continuationSeparator" w:id="0">
    <w:p w14:paraId="06959DDA" w14:textId="77777777" w:rsidR="005B3977" w:rsidRDefault="005B3977" w:rsidP="00BC59C6">
      <w:pPr>
        <w:spacing w:after="0" w:line="240" w:lineRule="auto"/>
      </w:pPr>
      <w:r>
        <w:continuationSeparator/>
      </w:r>
    </w:p>
  </w:footnote>
  <w:footnote w:type="continuationNotice" w:id="1">
    <w:p w14:paraId="79FFA2C4" w14:textId="77777777" w:rsidR="005B3977" w:rsidRDefault="005B3977">
      <w:pPr>
        <w:spacing w:after="0" w:line="240" w:lineRule="auto"/>
      </w:pPr>
    </w:p>
  </w:footnote>
  <w:footnote w:id="2">
    <w:p w14:paraId="131235C7" w14:textId="1A3E27D0" w:rsidR="008D702E" w:rsidRPr="007D1BD1" w:rsidRDefault="008D702E">
      <w:pPr>
        <w:pStyle w:val="FootnoteText"/>
        <w:rPr>
          <w:lang w:val="en-US"/>
        </w:rPr>
      </w:pPr>
      <w:r>
        <w:rPr>
          <w:rStyle w:val="FootnoteReference"/>
        </w:rPr>
        <w:footnoteRef/>
      </w:r>
      <w:r>
        <w:t xml:space="preserve"> </w:t>
      </w:r>
      <w:r w:rsidRPr="005E1195">
        <w:t xml:space="preserve">The </w:t>
      </w:r>
      <w:r>
        <w:t>w</w:t>
      </w:r>
      <w:r w:rsidRPr="005E1195">
        <w:t xml:space="preserve">ater and </w:t>
      </w:r>
      <w:r>
        <w:t>s</w:t>
      </w:r>
      <w:r w:rsidRPr="005E1195">
        <w:t xml:space="preserve">anitation sector in Uganda uses 11 </w:t>
      </w:r>
      <w:r>
        <w:t>G</w:t>
      </w:r>
      <w:r w:rsidRPr="005E1195">
        <w:t xml:space="preserve">olden </w:t>
      </w:r>
      <w:r>
        <w:t>I</w:t>
      </w:r>
      <w:r w:rsidRPr="005E1195">
        <w:t>ndicators to measure performance of WASH service delivery.</w:t>
      </w:r>
      <w:r>
        <w:t xml:space="preserve"> These indicators capture key technical, social and economic aspects of the water and sanitation sector, and are reported upon annually in the Water and Sanitation Sector Performance Report (SPR).</w:t>
      </w:r>
    </w:p>
  </w:footnote>
  <w:footnote w:id="3">
    <w:p w14:paraId="597724F5" w14:textId="77777777" w:rsidR="008D702E" w:rsidRDefault="008D702E" w:rsidP="00983DE0">
      <w:pPr>
        <w:pStyle w:val="FootnoteText"/>
      </w:pPr>
      <w:r>
        <w:rPr>
          <w:rStyle w:val="FootnoteReference"/>
        </w:rPr>
        <w:footnoteRef/>
      </w:r>
      <w:r>
        <w:t xml:space="preserve"> </w:t>
      </w:r>
      <w:r w:rsidRPr="00E25A3A">
        <w:rPr>
          <w:rFonts w:cs="Arial"/>
          <w:szCs w:val="19"/>
        </w:rPr>
        <w:t>T</w:t>
      </w:r>
      <w:r>
        <w:rPr>
          <w:rFonts w:cs="Arial"/>
          <w:szCs w:val="19"/>
        </w:rPr>
        <w:t>he NLLAP is a WASH sector multi-</w:t>
      </w:r>
      <w:r w:rsidRPr="00E25A3A">
        <w:rPr>
          <w:rFonts w:cs="Arial"/>
          <w:szCs w:val="19"/>
        </w:rPr>
        <w:t xml:space="preserve">stakeholder platform </w:t>
      </w:r>
      <w:r>
        <w:rPr>
          <w:rFonts w:cs="Arial"/>
          <w:szCs w:val="19"/>
        </w:rPr>
        <w:t xml:space="preserve">in Ghana </w:t>
      </w:r>
      <w:r w:rsidRPr="00E25A3A">
        <w:rPr>
          <w:rFonts w:cs="Arial"/>
          <w:szCs w:val="19"/>
        </w:rPr>
        <w:t>with the overall goal of improving sector learning and dialogue. It is organised on a monthly basis by the Ghana WASH Resource Centre Network (RCN).</w:t>
      </w:r>
      <w:r>
        <w:rPr>
          <w:rFonts w:cs="Arial"/>
          <w:szCs w:val="19"/>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845"/>
    <w:multiLevelType w:val="hybridMultilevel"/>
    <w:tmpl w:val="C56C7204"/>
    <w:lvl w:ilvl="0" w:tplc="A7B207D0">
      <w:start w:val="1"/>
      <w:numFmt w:val="bullet"/>
      <w:lvlText w:val="•"/>
      <w:lvlJc w:val="left"/>
      <w:pPr>
        <w:tabs>
          <w:tab w:val="num" w:pos="720"/>
        </w:tabs>
        <w:ind w:left="720" w:hanging="360"/>
      </w:pPr>
      <w:rPr>
        <w:rFonts w:ascii="Arial" w:hAnsi="Arial" w:hint="default"/>
      </w:rPr>
    </w:lvl>
    <w:lvl w:ilvl="1" w:tplc="28EAEC88">
      <w:start w:val="1895"/>
      <w:numFmt w:val="bullet"/>
      <w:lvlText w:val="–"/>
      <w:lvlJc w:val="left"/>
      <w:pPr>
        <w:tabs>
          <w:tab w:val="num" w:pos="1440"/>
        </w:tabs>
        <w:ind w:left="1440" w:hanging="360"/>
      </w:pPr>
      <w:rPr>
        <w:rFonts w:ascii="Arial" w:hAnsi="Arial" w:hint="default"/>
      </w:rPr>
    </w:lvl>
    <w:lvl w:ilvl="2" w:tplc="DF8239D2" w:tentative="1">
      <w:start w:val="1"/>
      <w:numFmt w:val="bullet"/>
      <w:lvlText w:val="•"/>
      <w:lvlJc w:val="left"/>
      <w:pPr>
        <w:tabs>
          <w:tab w:val="num" w:pos="2160"/>
        </w:tabs>
        <w:ind w:left="2160" w:hanging="360"/>
      </w:pPr>
      <w:rPr>
        <w:rFonts w:ascii="Arial" w:hAnsi="Arial" w:hint="default"/>
      </w:rPr>
    </w:lvl>
    <w:lvl w:ilvl="3" w:tplc="786A01CA" w:tentative="1">
      <w:start w:val="1"/>
      <w:numFmt w:val="bullet"/>
      <w:lvlText w:val="•"/>
      <w:lvlJc w:val="left"/>
      <w:pPr>
        <w:tabs>
          <w:tab w:val="num" w:pos="2880"/>
        </w:tabs>
        <w:ind w:left="2880" w:hanging="360"/>
      </w:pPr>
      <w:rPr>
        <w:rFonts w:ascii="Arial" w:hAnsi="Arial" w:hint="default"/>
      </w:rPr>
    </w:lvl>
    <w:lvl w:ilvl="4" w:tplc="0910206A" w:tentative="1">
      <w:start w:val="1"/>
      <w:numFmt w:val="bullet"/>
      <w:lvlText w:val="•"/>
      <w:lvlJc w:val="left"/>
      <w:pPr>
        <w:tabs>
          <w:tab w:val="num" w:pos="3600"/>
        </w:tabs>
        <w:ind w:left="3600" w:hanging="360"/>
      </w:pPr>
      <w:rPr>
        <w:rFonts w:ascii="Arial" w:hAnsi="Arial" w:hint="default"/>
      </w:rPr>
    </w:lvl>
    <w:lvl w:ilvl="5" w:tplc="C79AF932" w:tentative="1">
      <w:start w:val="1"/>
      <w:numFmt w:val="bullet"/>
      <w:lvlText w:val="•"/>
      <w:lvlJc w:val="left"/>
      <w:pPr>
        <w:tabs>
          <w:tab w:val="num" w:pos="4320"/>
        </w:tabs>
        <w:ind w:left="4320" w:hanging="360"/>
      </w:pPr>
      <w:rPr>
        <w:rFonts w:ascii="Arial" w:hAnsi="Arial" w:hint="default"/>
      </w:rPr>
    </w:lvl>
    <w:lvl w:ilvl="6" w:tplc="9B5EF748" w:tentative="1">
      <w:start w:val="1"/>
      <w:numFmt w:val="bullet"/>
      <w:lvlText w:val="•"/>
      <w:lvlJc w:val="left"/>
      <w:pPr>
        <w:tabs>
          <w:tab w:val="num" w:pos="5040"/>
        </w:tabs>
        <w:ind w:left="5040" w:hanging="360"/>
      </w:pPr>
      <w:rPr>
        <w:rFonts w:ascii="Arial" w:hAnsi="Arial" w:hint="default"/>
      </w:rPr>
    </w:lvl>
    <w:lvl w:ilvl="7" w:tplc="25383222" w:tentative="1">
      <w:start w:val="1"/>
      <w:numFmt w:val="bullet"/>
      <w:lvlText w:val="•"/>
      <w:lvlJc w:val="left"/>
      <w:pPr>
        <w:tabs>
          <w:tab w:val="num" w:pos="5760"/>
        </w:tabs>
        <w:ind w:left="5760" w:hanging="360"/>
      </w:pPr>
      <w:rPr>
        <w:rFonts w:ascii="Arial" w:hAnsi="Arial" w:hint="default"/>
      </w:rPr>
    </w:lvl>
    <w:lvl w:ilvl="8" w:tplc="D3F887B6" w:tentative="1">
      <w:start w:val="1"/>
      <w:numFmt w:val="bullet"/>
      <w:lvlText w:val="•"/>
      <w:lvlJc w:val="left"/>
      <w:pPr>
        <w:tabs>
          <w:tab w:val="num" w:pos="6480"/>
        </w:tabs>
        <w:ind w:left="6480" w:hanging="360"/>
      </w:pPr>
      <w:rPr>
        <w:rFonts w:ascii="Arial" w:hAnsi="Arial" w:hint="default"/>
      </w:rPr>
    </w:lvl>
  </w:abstractNum>
  <w:abstractNum w:abstractNumId="1">
    <w:nsid w:val="065A5DE8"/>
    <w:multiLevelType w:val="hybridMultilevel"/>
    <w:tmpl w:val="D2549FEE"/>
    <w:lvl w:ilvl="0" w:tplc="D7B26EA4">
      <w:start w:val="1"/>
      <w:numFmt w:val="bullet"/>
      <w:lvlText w:val="•"/>
      <w:lvlJc w:val="left"/>
      <w:pPr>
        <w:tabs>
          <w:tab w:val="num" w:pos="360"/>
        </w:tabs>
        <w:ind w:left="360" w:hanging="360"/>
      </w:pPr>
      <w:rPr>
        <w:rFonts w:ascii="Arial" w:hAnsi="Arial" w:hint="default"/>
      </w:rPr>
    </w:lvl>
    <w:lvl w:ilvl="1" w:tplc="F9BE70F0">
      <w:start w:val="611"/>
      <w:numFmt w:val="bullet"/>
      <w:lvlText w:val="–"/>
      <w:lvlJc w:val="left"/>
      <w:pPr>
        <w:tabs>
          <w:tab w:val="num" w:pos="1080"/>
        </w:tabs>
        <w:ind w:left="1080" w:hanging="360"/>
      </w:pPr>
      <w:rPr>
        <w:rFonts w:ascii="Arial" w:hAnsi="Arial" w:hint="default"/>
      </w:rPr>
    </w:lvl>
    <w:lvl w:ilvl="2" w:tplc="401277A2">
      <w:start w:val="1"/>
      <w:numFmt w:val="bullet"/>
      <w:lvlText w:val="•"/>
      <w:lvlJc w:val="left"/>
      <w:pPr>
        <w:tabs>
          <w:tab w:val="num" w:pos="1800"/>
        </w:tabs>
        <w:ind w:left="1800" w:hanging="360"/>
      </w:pPr>
      <w:rPr>
        <w:rFonts w:ascii="Arial" w:hAnsi="Arial" w:hint="default"/>
      </w:rPr>
    </w:lvl>
    <w:lvl w:ilvl="3" w:tplc="0C6CEB72">
      <w:start w:val="1"/>
      <w:numFmt w:val="bullet"/>
      <w:lvlText w:val="•"/>
      <w:lvlJc w:val="left"/>
      <w:pPr>
        <w:tabs>
          <w:tab w:val="num" w:pos="2520"/>
        </w:tabs>
        <w:ind w:left="2520" w:hanging="360"/>
      </w:pPr>
      <w:rPr>
        <w:rFonts w:ascii="Arial" w:hAnsi="Arial" w:hint="default"/>
      </w:rPr>
    </w:lvl>
    <w:lvl w:ilvl="4" w:tplc="2D405AAE" w:tentative="1">
      <w:start w:val="1"/>
      <w:numFmt w:val="bullet"/>
      <w:lvlText w:val="•"/>
      <w:lvlJc w:val="left"/>
      <w:pPr>
        <w:tabs>
          <w:tab w:val="num" w:pos="3240"/>
        </w:tabs>
        <w:ind w:left="3240" w:hanging="360"/>
      </w:pPr>
      <w:rPr>
        <w:rFonts w:ascii="Arial" w:hAnsi="Arial" w:hint="default"/>
      </w:rPr>
    </w:lvl>
    <w:lvl w:ilvl="5" w:tplc="3ED87108" w:tentative="1">
      <w:start w:val="1"/>
      <w:numFmt w:val="bullet"/>
      <w:lvlText w:val="•"/>
      <w:lvlJc w:val="left"/>
      <w:pPr>
        <w:tabs>
          <w:tab w:val="num" w:pos="3960"/>
        </w:tabs>
        <w:ind w:left="3960" w:hanging="360"/>
      </w:pPr>
      <w:rPr>
        <w:rFonts w:ascii="Arial" w:hAnsi="Arial" w:hint="default"/>
      </w:rPr>
    </w:lvl>
    <w:lvl w:ilvl="6" w:tplc="9F60D61C" w:tentative="1">
      <w:start w:val="1"/>
      <w:numFmt w:val="bullet"/>
      <w:lvlText w:val="•"/>
      <w:lvlJc w:val="left"/>
      <w:pPr>
        <w:tabs>
          <w:tab w:val="num" w:pos="4680"/>
        </w:tabs>
        <w:ind w:left="4680" w:hanging="360"/>
      </w:pPr>
      <w:rPr>
        <w:rFonts w:ascii="Arial" w:hAnsi="Arial" w:hint="default"/>
      </w:rPr>
    </w:lvl>
    <w:lvl w:ilvl="7" w:tplc="671C19D0" w:tentative="1">
      <w:start w:val="1"/>
      <w:numFmt w:val="bullet"/>
      <w:lvlText w:val="•"/>
      <w:lvlJc w:val="left"/>
      <w:pPr>
        <w:tabs>
          <w:tab w:val="num" w:pos="5400"/>
        </w:tabs>
        <w:ind w:left="5400" w:hanging="360"/>
      </w:pPr>
      <w:rPr>
        <w:rFonts w:ascii="Arial" w:hAnsi="Arial" w:hint="default"/>
      </w:rPr>
    </w:lvl>
    <w:lvl w:ilvl="8" w:tplc="B9160C02" w:tentative="1">
      <w:start w:val="1"/>
      <w:numFmt w:val="bullet"/>
      <w:lvlText w:val="•"/>
      <w:lvlJc w:val="left"/>
      <w:pPr>
        <w:tabs>
          <w:tab w:val="num" w:pos="6120"/>
        </w:tabs>
        <w:ind w:left="6120" w:hanging="360"/>
      </w:pPr>
      <w:rPr>
        <w:rFonts w:ascii="Arial" w:hAnsi="Arial" w:hint="default"/>
      </w:rPr>
    </w:lvl>
  </w:abstractNum>
  <w:abstractNum w:abstractNumId="2">
    <w:nsid w:val="09C205CE"/>
    <w:multiLevelType w:val="hybridMultilevel"/>
    <w:tmpl w:val="B2AA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D6D8F"/>
    <w:multiLevelType w:val="hybridMultilevel"/>
    <w:tmpl w:val="CCC4168A"/>
    <w:lvl w:ilvl="0" w:tplc="F08A6822">
      <w:start w:val="1"/>
      <w:numFmt w:val="bullet"/>
      <w:lvlText w:val="•"/>
      <w:lvlJc w:val="left"/>
      <w:pPr>
        <w:tabs>
          <w:tab w:val="num" w:pos="720"/>
        </w:tabs>
        <w:ind w:left="720" w:hanging="360"/>
      </w:pPr>
      <w:rPr>
        <w:rFonts w:ascii="Arial" w:hAnsi="Arial" w:hint="default"/>
      </w:rPr>
    </w:lvl>
    <w:lvl w:ilvl="1" w:tplc="7A6AAFB4" w:tentative="1">
      <w:start w:val="1"/>
      <w:numFmt w:val="bullet"/>
      <w:lvlText w:val="•"/>
      <w:lvlJc w:val="left"/>
      <w:pPr>
        <w:tabs>
          <w:tab w:val="num" w:pos="1440"/>
        </w:tabs>
        <w:ind w:left="1440" w:hanging="360"/>
      </w:pPr>
      <w:rPr>
        <w:rFonts w:ascii="Arial" w:hAnsi="Arial" w:hint="default"/>
      </w:rPr>
    </w:lvl>
    <w:lvl w:ilvl="2" w:tplc="319C8CDC" w:tentative="1">
      <w:start w:val="1"/>
      <w:numFmt w:val="bullet"/>
      <w:lvlText w:val="•"/>
      <w:lvlJc w:val="left"/>
      <w:pPr>
        <w:tabs>
          <w:tab w:val="num" w:pos="2160"/>
        </w:tabs>
        <w:ind w:left="2160" w:hanging="360"/>
      </w:pPr>
      <w:rPr>
        <w:rFonts w:ascii="Arial" w:hAnsi="Arial" w:hint="default"/>
      </w:rPr>
    </w:lvl>
    <w:lvl w:ilvl="3" w:tplc="5EF66506" w:tentative="1">
      <w:start w:val="1"/>
      <w:numFmt w:val="bullet"/>
      <w:lvlText w:val="•"/>
      <w:lvlJc w:val="left"/>
      <w:pPr>
        <w:tabs>
          <w:tab w:val="num" w:pos="2880"/>
        </w:tabs>
        <w:ind w:left="2880" w:hanging="360"/>
      </w:pPr>
      <w:rPr>
        <w:rFonts w:ascii="Arial" w:hAnsi="Arial" w:hint="default"/>
      </w:rPr>
    </w:lvl>
    <w:lvl w:ilvl="4" w:tplc="FC38AD4E" w:tentative="1">
      <w:start w:val="1"/>
      <w:numFmt w:val="bullet"/>
      <w:lvlText w:val="•"/>
      <w:lvlJc w:val="left"/>
      <w:pPr>
        <w:tabs>
          <w:tab w:val="num" w:pos="3600"/>
        </w:tabs>
        <w:ind w:left="3600" w:hanging="360"/>
      </w:pPr>
      <w:rPr>
        <w:rFonts w:ascii="Arial" w:hAnsi="Arial" w:hint="default"/>
      </w:rPr>
    </w:lvl>
    <w:lvl w:ilvl="5" w:tplc="3648F906" w:tentative="1">
      <w:start w:val="1"/>
      <w:numFmt w:val="bullet"/>
      <w:lvlText w:val="•"/>
      <w:lvlJc w:val="left"/>
      <w:pPr>
        <w:tabs>
          <w:tab w:val="num" w:pos="4320"/>
        </w:tabs>
        <w:ind w:left="4320" w:hanging="360"/>
      </w:pPr>
      <w:rPr>
        <w:rFonts w:ascii="Arial" w:hAnsi="Arial" w:hint="default"/>
      </w:rPr>
    </w:lvl>
    <w:lvl w:ilvl="6" w:tplc="EFA882F0" w:tentative="1">
      <w:start w:val="1"/>
      <w:numFmt w:val="bullet"/>
      <w:lvlText w:val="•"/>
      <w:lvlJc w:val="left"/>
      <w:pPr>
        <w:tabs>
          <w:tab w:val="num" w:pos="5040"/>
        </w:tabs>
        <w:ind w:left="5040" w:hanging="360"/>
      </w:pPr>
      <w:rPr>
        <w:rFonts w:ascii="Arial" w:hAnsi="Arial" w:hint="default"/>
      </w:rPr>
    </w:lvl>
    <w:lvl w:ilvl="7" w:tplc="BC965774" w:tentative="1">
      <w:start w:val="1"/>
      <w:numFmt w:val="bullet"/>
      <w:lvlText w:val="•"/>
      <w:lvlJc w:val="left"/>
      <w:pPr>
        <w:tabs>
          <w:tab w:val="num" w:pos="5760"/>
        </w:tabs>
        <w:ind w:left="5760" w:hanging="360"/>
      </w:pPr>
      <w:rPr>
        <w:rFonts w:ascii="Arial" w:hAnsi="Arial" w:hint="default"/>
      </w:rPr>
    </w:lvl>
    <w:lvl w:ilvl="8" w:tplc="52167008" w:tentative="1">
      <w:start w:val="1"/>
      <w:numFmt w:val="bullet"/>
      <w:lvlText w:val="•"/>
      <w:lvlJc w:val="left"/>
      <w:pPr>
        <w:tabs>
          <w:tab w:val="num" w:pos="6480"/>
        </w:tabs>
        <w:ind w:left="6480" w:hanging="360"/>
      </w:pPr>
      <w:rPr>
        <w:rFonts w:ascii="Arial" w:hAnsi="Arial" w:hint="default"/>
      </w:rPr>
    </w:lvl>
  </w:abstractNum>
  <w:abstractNum w:abstractNumId="4">
    <w:nsid w:val="0CE55385"/>
    <w:multiLevelType w:val="hybridMultilevel"/>
    <w:tmpl w:val="706E84C4"/>
    <w:lvl w:ilvl="0" w:tplc="2DCC56EE">
      <w:start w:val="3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9040C"/>
    <w:multiLevelType w:val="hybridMultilevel"/>
    <w:tmpl w:val="BB6485B4"/>
    <w:lvl w:ilvl="0" w:tplc="A4C6DC3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B3B91"/>
    <w:multiLevelType w:val="hybridMultilevel"/>
    <w:tmpl w:val="040A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51B0E"/>
    <w:multiLevelType w:val="hybridMultilevel"/>
    <w:tmpl w:val="5B541FC4"/>
    <w:lvl w:ilvl="0" w:tplc="E54051EE">
      <w:start w:val="1"/>
      <w:numFmt w:val="bullet"/>
      <w:lvlText w:val="•"/>
      <w:lvlJc w:val="left"/>
      <w:pPr>
        <w:tabs>
          <w:tab w:val="num" w:pos="720"/>
        </w:tabs>
        <w:ind w:left="720" w:hanging="360"/>
      </w:pPr>
      <w:rPr>
        <w:rFonts w:ascii="Arial" w:hAnsi="Arial" w:hint="default"/>
      </w:rPr>
    </w:lvl>
    <w:lvl w:ilvl="1" w:tplc="74905AC8">
      <w:start w:val="1010"/>
      <w:numFmt w:val="bullet"/>
      <w:lvlText w:val="–"/>
      <w:lvlJc w:val="left"/>
      <w:pPr>
        <w:tabs>
          <w:tab w:val="num" w:pos="1440"/>
        </w:tabs>
        <w:ind w:left="1440" w:hanging="360"/>
      </w:pPr>
      <w:rPr>
        <w:rFonts w:ascii="Arial" w:hAnsi="Arial" w:hint="default"/>
      </w:rPr>
    </w:lvl>
    <w:lvl w:ilvl="2" w:tplc="079C4E7C">
      <w:start w:val="1010"/>
      <w:numFmt w:val="bullet"/>
      <w:lvlText w:val="•"/>
      <w:lvlJc w:val="left"/>
      <w:pPr>
        <w:tabs>
          <w:tab w:val="num" w:pos="2160"/>
        </w:tabs>
        <w:ind w:left="2160" w:hanging="360"/>
      </w:pPr>
      <w:rPr>
        <w:rFonts w:ascii="Arial" w:hAnsi="Arial" w:hint="default"/>
      </w:rPr>
    </w:lvl>
    <w:lvl w:ilvl="3" w:tplc="46269212" w:tentative="1">
      <w:start w:val="1"/>
      <w:numFmt w:val="bullet"/>
      <w:lvlText w:val="•"/>
      <w:lvlJc w:val="left"/>
      <w:pPr>
        <w:tabs>
          <w:tab w:val="num" w:pos="2880"/>
        </w:tabs>
        <w:ind w:left="2880" w:hanging="360"/>
      </w:pPr>
      <w:rPr>
        <w:rFonts w:ascii="Arial" w:hAnsi="Arial" w:hint="default"/>
      </w:rPr>
    </w:lvl>
    <w:lvl w:ilvl="4" w:tplc="3B2EC0BE" w:tentative="1">
      <w:start w:val="1"/>
      <w:numFmt w:val="bullet"/>
      <w:lvlText w:val="•"/>
      <w:lvlJc w:val="left"/>
      <w:pPr>
        <w:tabs>
          <w:tab w:val="num" w:pos="3600"/>
        </w:tabs>
        <w:ind w:left="3600" w:hanging="360"/>
      </w:pPr>
      <w:rPr>
        <w:rFonts w:ascii="Arial" w:hAnsi="Arial" w:hint="default"/>
      </w:rPr>
    </w:lvl>
    <w:lvl w:ilvl="5" w:tplc="CFD494DC" w:tentative="1">
      <w:start w:val="1"/>
      <w:numFmt w:val="bullet"/>
      <w:lvlText w:val="•"/>
      <w:lvlJc w:val="left"/>
      <w:pPr>
        <w:tabs>
          <w:tab w:val="num" w:pos="4320"/>
        </w:tabs>
        <w:ind w:left="4320" w:hanging="360"/>
      </w:pPr>
      <w:rPr>
        <w:rFonts w:ascii="Arial" w:hAnsi="Arial" w:hint="default"/>
      </w:rPr>
    </w:lvl>
    <w:lvl w:ilvl="6" w:tplc="5FD84D80" w:tentative="1">
      <w:start w:val="1"/>
      <w:numFmt w:val="bullet"/>
      <w:lvlText w:val="•"/>
      <w:lvlJc w:val="left"/>
      <w:pPr>
        <w:tabs>
          <w:tab w:val="num" w:pos="5040"/>
        </w:tabs>
        <w:ind w:left="5040" w:hanging="360"/>
      </w:pPr>
      <w:rPr>
        <w:rFonts w:ascii="Arial" w:hAnsi="Arial" w:hint="default"/>
      </w:rPr>
    </w:lvl>
    <w:lvl w:ilvl="7" w:tplc="772EBEA8" w:tentative="1">
      <w:start w:val="1"/>
      <w:numFmt w:val="bullet"/>
      <w:lvlText w:val="•"/>
      <w:lvlJc w:val="left"/>
      <w:pPr>
        <w:tabs>
          <w:tab w:val="num" w:pos="5760"/>
        </w:tabs>
        <w:ind w:left="5760" w:hanging="360"/>
      </w:pPr>
      <w:rPr>
        <w:rFonts w:ascii="Arial" w:hAnsi="Arial" w:hint="default"/>
      </w:rPr>
    </w:lvl>
    <w:lvl w:ilvl="8" w:tplc="D05CE0BA" w:tentative="1">
      <w:start w:val="1"/>
      <w:numFmt w:val="bullet"/>
      <w:lvlText w:val="•"/>
      <w:lvlJc w:val="left"/>
      <w:pPr>
        <w:tabs>
          <w:tab w:val="num" w:pos="6480"/>
        </w:tabs>
        <w:ind w:left="6480" w:hanging="360"/>
      </w:pPr>
      <w:rPr>
        <w:rFonts w:ascii="Arial" w:hAnsi="Arial" w:hint="default"/>
      </w:rPr>
    </w:lvl>
  </w:abstractNum>
  <w:abstractNum w:abstractNumId="8">
    <w:nsid w:val="25CA698F"/>
    <w:multiLevelType w:val="hybridMultilevel"/>
    <w:tmpl w:val="7A2C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3150A"/>
    <w:multiLevelType w:val="hybridMultilevel"/>
    <w:tmpl w:val="EFF05F54"/>
    <w:lvl w:ilvl="0" w:tplc="C00E8E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759D2"/>
    <w:multiLevelType w:val="hybridMultilevel"/>
    <w:tmpl w:val="1982F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1F389B"/>
    <w:multiLevelType w:val="hybridMultilevel"/>
    <w:tmpl w:val="8890657E"/>
    <w:lvl w:ilvl="0" w:tplc="11A06A2E">
      <w:start w:val="1"/>
      <w:numFmt w:val="bullet"/>
      <w:lvlText w:val="•"/>
      <w:lvlJc w:val="left"/>
      <w:pPr>
        <w:tabs>
          <w:tab w:val="num" w:pos="720"/>
        </w:tabs>
        <w:ind w:left="720" w:hanging="360"/>
      </w:pPr>
      <w:rPr>
        <w:rFonts w:ascii="Arial" w:hAnsi="Arial" w:hint="default"/>
      </w:rPr>
    </w:lvl>
    <w:lvl w:ilvl="1" w:tplc="FB0461C8">
      <w:start w:val="1195"/>
      <w:numFmt w:val="bullet"/>
      <w:lvlText w:val="–"/>
      <w:lvlJc w:val="left"/>
      <w:pPr>
        <w:tabs>
          <w:tab w:val="num" w:pos="1440"/>
        </w:tabs>
        <w:ind w:left="1440" w:hanging="360"/>
      </w:pPr>
      <w:rPr>
        <w:rFonts w:ascii="Arial" w:hAnsi="Arial" w:hint="default"/>
      </w:rPr>
    </w:lvl>
    <w:lvl w:ilvl="2" w:tplc="8E98F05E">
      <w:start w:val="1195"/>
      <w:numFmt w:val="bullet"/>
      <w:lvlText w:val="•"/>
      <w:lvlJc w:val="left"/>
      <w:pPr>
        <w:tabs>
          <w:tab w:val="num" w:pos="2160"/>
        </w:tabs>
        <w:ind w:left="2160" w:hanging="360"/>
      </w:pPr>
      <w:rPr>
        <w:rFonts w:ascii="Arial" w:hAnsi="Arial" w:hint="default"/>
      </w:rPr>
    </w:lvl>
    <w:lvl w:ilvl="3" w:tplc="CD4C8A6A" w:tentative="1">
      <w:start w:val="1"/>
      <w:numFmt w:val="bullet"/>
      <w:lvlText w:val="•"/>
      <w:lvlJc w:val="left"/>
      <w:pPr>
        <w:tabs>
          <w:tab w:val="num" w:pos="2880"/>
        </w:tabs>
        <w:ind w:left="2880" w:hanging="360"/>
      </w:pPr>
      <w:rPr>
        <w:rFonts w:ascii="Arial" w:hAnsi="Arial" w:hint="default"/>
      </w:rPr>
    </w:lvl>
    <w:lvl w:ilvl="4" w:tplc="8318C82A" w:tentative="1">
      <w:start w:val="1"/>
      <w:numFmt w:val="bullet"/>
      <w:lvlText w:val="•"/>
      <w:lvlJc w:val="left"/>
      <w:pPr>
        <w:tabs>
          <w:tab w:val="num" w:pos="3600"/>
        </w:tabs>
        <w:ind w:left="3600" w:hanging="360"/>
      </w:pPr>
      <w:rPr>
        <w:rFonts w:ascii="Arial" w:hAnsi="Arial" w:hint="default"/>
      </w:rPr>
    </w:lvl>
    <w:lvl w:ilvl="5" w:tplc="888E5080" w:tentative="1">
      <w:start w:val="1"/>
      <w:numFmt w:val="bullet"/>
      <w:lvlText w:val="•"/>
      <w:lvlJc w:val="left"/>
      <w:pPr>
        <w:tabs>
          <w:tab w:val="num" w:pos="4320"/>
        </w:tabs>
        <w:ind w:left="4320" w:hanging="360"/>
      </w:pPr>
      <w:rPr>
        <w:rFonts w:ascii="Arial" w:hAnsi="Arial" w:hint="default"/>
      </w:rPr>
    </w:lvl>
    <w:lvl w:ilvl="6" w:tplc="8E140380" w:tentative="1">
      <w:start w:val="1"/>
      <w:numFmt w:val="bullet"/>
      <w:lvlText w:val="•"/>
      <w:lvlJc w:val="left"/>
      <w:pPr>
        <w:tabs>
          <w:tab w:val="num" w:pos="5040"/>
        </w:tabs>
        <w:ind w:left="5040" w:hanging="360"/>
      </w:pPr>
      <w:rPr>
        <w:rFonts w:ascii="Arial" w:hAnsi="Arial" w:hint="default"/>
      </w:rPr>
    </w:lvl>
    <w:lvl w:ilvl="7" w:tplc="C8A6FFDC" w:tentative="1">
      <w:start w:val="1"/>
      <w:numFmt w:val="bullet"/>
      <w:lvlText w:val="•"/>
      <w:lvlJc w:val="left"/>
      <w:pPr>
        <w:tabs>
          <w:tab w:val="num" w:pos="5760"/>
        </w:tabs>
        <w:ind w:left="5760" w:hanging="360"/>
      </w:pPr>
      <w:rPr>
        <w:rFonts w:ascii="Arial" w:hAnsi="Arial" w:hint="default"/>
      </w:rPr>
    </w:lvl>
    <w:lvl w:ilvl="8" w:tplc="30E2DD00" w:tentative="1">
      <w:start w:val="1"/>
      <w:numFmt w:val="bullet"/>
      <w:lvlText w:val="•"/>
      <w:lvlJc w:val="left"/>
      <w:pPr>
        <w:tabs>
          <w:tab w:val="num" w:pos="6480"/>
        </w:tabs>
        <w:ind w:left="6480" w:hanging="360"/>
      </w:pPr>
      <w:rPr>
        <w:rFonts w:ascii="Arial" w:hAnsi="Arial" w:hint="default"/>
      </w:rPr>
    </w:lvl>
  </w:abstractNum>
  <w:abstractNum w:abstractNumId="12">
    <w:nsid w:val="52943A65"/>
    <w:multiLevelType w:val="hybridMultilevel"/>
    <w:tmpl w:val="AD2E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C56900"/>
    <w:multiLevelType w:val="hybridMultilevel"/>
    <w:tmpl w:val="72A0CB20"/>
    <w:lvl w:ilvl="0" w:tplc="2DCC56EE">
      <w:start w:val="3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10507C"/>
    <w:multiLevelType w:val="hybridMultilevel"/>
    <w:tmpl w:val="BC30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0E7A4D"/>
    <w:multiLevelType w:val="hybridMultilevel"/>
    <w:tmpl w:val="68B44536"/>
    <w:lvl w:ilvl="0" w:tplc="A4C6DC3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383618"/>
    <w:multiLevelType w:val="hybridMultilevel"/>
    <w:tmpl w:val="C49C1704"/>
    <w:lvl w:ilvl="0" w:tplc="78000834">
      <w:start w:val="1"/>
      <w:numFmt w:val="bullet"/>
      <w:lvlText w:val="•"/>
      <w:lvlJc w:val="left"/>
      <w:pPr>
        <w:tabs>
          <w:tab w:val="num" w:pos="720"/>
        </w:tabs>
        <w:ind w:left="720" w:hanging="360"/>
      </w:pPr>
      <w:rPr>
        <w:rFonts w:ascii="Arial" w:hAnsi="Arial" w:hint="default"/>
      </w:rPr>
    </w:lvl>
    <w:lvl w:ilvl="1" w:tplc="107224F6">
      <w:start w:val="611"/>
      <w:numFmt w:val="bullet"/>
      <w:lvlText w:val="–"/>
      <w:lvlJc w:val="left"/>
      <w:pPr>
        <w:tabs>
          <w:tab w:val="num" w:pos="1440"/>
        </w:tabs>
        <w:ind w:left="1440" w:hanging="360"/>
      </w:pPr>
      <w:rPr>
        <w:rFonts w:ascii="Arial" w:hAnsi="Arial" w:hint="default"/>
      </w:rPr>
    </w:lvl>
    <w:lvl w:ilvl="2" w:tplc="6A84B9AE">
      <w:start w:val="611"/>
      <w:numFmt w:val="bullet"/>
      <w:lvlText w:val="•"/>
      <w:lvlJc w:val="left"/>
      <w:pPr>
        <w:tabs>
          <w:tab w:val="num" w:pos="2160"/>
        </w:tabs>
        <w:ind w:left="2160" w:hanging="360"/>
      </w:pPr>
      <w:rPr>
        <w:rFonts w:ascii="Arial" w:hAnsi="Arial" w:hint="default"/>
      </w:rPr>
    </w:lvl>
    <w:lvl w:ilvl="3" w:tplc="E3EECB6E">
      <w:start w:val="611"/>
      <w:numFmt w:val="bullet"/>
      <w:lvlText w:val="–"/>
      <w:lvlJc w:val="left"/>
      <w:pPr>
        <w:tabs>
          <w:tab w:val="num" w:pos="2880"/>
        </w:tabs>
        <w:ind w:left="2880" w:hanging="360"/>
      </w:pPr>
      <w:rPr>
        <w:rFonts w:ascii="Arial" w:hAnsi="Arial" w:hint="default"/>
      </w:rPr>
    </w:lvl>
    <w:lvl w:ilvl="4" w:tplc="CFD23748" w:tentative="1">
      <w:start w:val="1"/>
      <w:numFmt w:val="bullet"/>
      <w:lvlText w:val="•"/>
      <w:lvlJc w:val="left"/>
      <w:pPr>
        <w:tabs>
          <w:tab w:val="num" w:pos="3600"/>
        </w:tabs>
        <w:ind w:left="3600" w:hanging="360"/>
      </w:pPr>
      <w:rPr>
        <w:rFonts w:ascii="Arial" w:hAnsi="Arial" w:hint="default"/>
      </w:rPr>
    </w:lvl>
    <w:lvl w:ilvl="5" w:tplc="4E602A78" w:tentative="1">
      <w:start w:val="1"/>
      <w:numFmt w:val="bullet"/>
      <w:lvlText w:val="•"/>
      <w:lvlJc w:val="left"/>
      <w:pPr>
        <w:tabs>
          <w:tab w:val="num" w:pos="4320"/>
        </w:tabs>
        <w:ind w:left="4320" w:hanging="360"/>
      </w:pPr>
      <w:rPr>
        <w:rFonts w:ascii="Arial" w:hAnsi="Arial" w:hint="default"/>
      </w:rPr>
    </w:lvl>
    <w:lvl w:ilvl="6" w:tplc="CCB4C0F4" w:tentative="1">
      <w:start w:val="1"/>
      <w:numFmt w:val="bullet"/>
      <w:lvlText w:val="•"/>
      <w:lvlJc w:val="left"/>
      <w:pPr>
        <w:tabs>
          <w:tab w:val="num" w:pos="5040"/>
        </w:tabs>
        <w:ind w:left="5040" w:hanging="360"/>
      </w:pPr>
      <w:rPr>
        <w:rFonts w:ascii="Arial" w:hAnsi="Arial" w:hint="default"/>
      </w:rPr>
    </w:lvl>
    <w:lvl w:ilvl="7" w:tplc="E33E5CB0" w:tentative="1">
      <w:start w:val="1"/>
      <w:numFmt w:val="bullet"/>
      <w:lvlText w:val="•"/>
      <w:lvlJc w:val="left"/>
      <w:pPr>
        <w:tabs>
          <w:tab w:val="num" w:pos="5760"/>
        </w:tabs>
        <w:ind w:left="5760" w:hanging="360"/>
      </w:pPr>
      <w:rPr>
        <w:rFonts w:ascii="Arial" w:hAnsi="Arial" w:hint="default"/>
      </w:rPr>
    </w:lvl>
    <w:lvl w:ilvl="8" w:tplc="3FC84196" w:tentative="1">
      <w:start w:val="1"/>
      <w:numFmt w:val="bullet"/>
      <w:lvlText w:val="•"/>
      <w:lvlJc w:val="left"/>
      <w:pPr>
        <w:tabs>
          <w:tab w:val="num" w:pos="6480"/>
        </w:tabs>
        <w:ind w:left="6480" w:hanging="360"/>
      </w:pPr>
      <w:rPr>
        <w:rFonts w:ascii="Arial" w:hAnsi="Arial" w:hint="default"/>
      </w:rPr>
    </w:lvl>
  </w:abstractNum>
  <w:abstractNum w:abstractNumId="17">
    <w:nsid w:val="7C26234A"/>
    <w:multiLevelType w:val="hybridMultilevel"/>
    <w:tmpl w:val="05C46E5A"/>
    <w:lvl w:ilvl="0" w:tplc="DA44005C">
      <w:start w:val="1"/>
      <w:numFmt w:val="bullet"/>
      <w:lvlText w:val="•"/>
      <w:lvlJc w:val="left"/>
      <w:pPr>
        <w:tabs>
          <w:tab w:val="num" w:pos="720"/>
        </w:tabs>
        <w:ind w:left="720" w:hanging="360"/>
      </w:pPr>
      <w:rPr>
        <w:rFonts w:ascii="Arial" w:hAnsi="Arial" w:hint="default"/>
      </w:rPr>
    </w:lvl>
    <w:lvl w:ilvl="1" w:tplc="08CCCA06">
      <w:start w:val="611"/>
      <w:numFmt w:val="bullet"/>
      <w:lvlText w:val="–"/>
      <w:lvlJc w:val="left"/>
      <w:pPr>
        <w:tabs>
          <w:tab w:val="num" w:pos="1440"/>
        </w:tabs>
        <w:ind w:left="1440" w:hanging="360"/>
      </w:pPr>
      <w:rPr>
        <w:rFonts w:ascii="Arial" w:hAnsi="Arial" w:hint="default"/>
      </w:rPr>
    </w:lvl>
    <w:lvl w:ilvl="2" w:tplc="0682E278" w:tentative="1">
      <w:start w:val="1"/>
      <w:numFmt w:val="bullet"/>
      <w:lvlText w:val="•"/>
      <w:lvlJc w:val="left"/>
      <w:pPr>
        <w:tabs>
          <w:tab w:val="num" w:pos="2160"/>
        </w:tabs>
        <w:ind w:left="2160" w:hanging="360"/>
      </w:pPr>
      <w:rPr>
        <w:rFonts w:ascii="Arial" w:hAnsi="Arial" w:hint="default"/>
      </w:rPr>
    </w:lvl>
    <w:lvl w:ilvl="3" w:tplc="9E00E200" w:tentative="1">
      <w:start w:val="1"/>
      <w:numFmt w:val="bullet"/>
      <w:lvlText w:val="•"/>
      <w:lvlJc w:val="left"/>
      <w:pPr>
        <w:tabs>
          <w:tab w:val="num" w:pos="2880"/>
        </w:tabs>
        <w:ind w:left="2880" w:hanging="360"/>
      </w:pPr>
      <w:rPr>
        <w:rFonts w:ascii="Arial" w:hAnsi="Arial" w:hint="default"/>
      </w:rPr>
    </w:lvl>
    <w:lvl w:ilvl="4" w:tplc="BB10E902" w:tentative="1">
      <w:start w:val="1"/>
      <w:numFmt w:val="bullet"/>
      <w:lvlText w:val="•"/>
      <w:lvlJc w:val="left"/>
      <w:pPr>
        <w:tabs>
          <w:tab w:val="num" w:pos="3600"/>
        </w:tabs>
        <w:ind w:left="3600" w:hanging="360"/>
      </w:pPr>
      <w:rPr>
        <w:rFonts w:ascii="Arial" w:hAnsi="Arial" w:hint="default"/>
      </w:rPr>
    </w:lvl>
    <w:lvl w:ilvl="5" w:tplc="76040ADE" w:tentative="1">
      <w:start w:val="1"/>
      <w:numFmt w:val="bullet"/>
      <w:lvlText w:val="•"/>
      <w:lvlJc w:val="left"/>
      <w:pPr>
        <w:tabs>
          <w:tab w:val="num" w:pos="4320"/>
        </w:tabs>
        <w:ind w:left="4320" w:hanging="360"/>
      </w:pPr>
      <w:rPr>
        <w:rFonts w:ascii="Arial" w:hAnsi="Arial" w:hint="default"/>
      </w:rPr>
    </w:lvl>
    <w:lvl w:ilvl="6" w:tplc="4CE45C32" w:tentative="1">
      <w:start w:val="1"/>
      <w:numFmt w:val="bullet"/>
      <w:lvlText w:val="•"/>
      <w:lvlJc w:val="left"/>
      <w:pPr>
        <w:tabs>
          <w:tab w:val="num" w:pos="5040"/>
        </w:tabs>
        <w:ind w:left="5040" w:hanging="360"/>
      </w:pPr>
      <w:rPr>
        <w:rFonts w:ascii="Arial" w:hAnsi="Arial" w:hint="default"/>
      </w:rPr>
    </w:lvl>
    <w:lvl w:ilvl="7" w:tplc="4784FE36" w:tentative="1">
      <w:start w:val="1"/>
      <w:numFmt w:val="bullet"/>
      <w:lvlText w:val="•"/>
      <w:lvlJc w:val="left"/>
      <w:pPr>
        <w:tabs>
          <w:tab w:val="num" w:pos="5760"/>
        </w:tabs>
        <w:ind w:left="5760" w:hanging="360"/>
      </w:pPr>
      <w:rPr>
        <w:rFonts w:ascii="Arial" w:hAnsi="Arial" w:hint="default"/>
      </w:rPr>
    </w:lvl>
    <w:lvl w:ilvl="8" w:tplc="FE78C76C" w:tentative="1">
      <w:start w:val="1"/>
      <w:numFmt w:val="bullet"/>
      <w:lvlText w:val="•"/>
      <w:lvlJc w:val="left"/>
      <w:pPr>
        <w:tabs>
          <w:tab w:val="num" w:pos="6480"/>
        </w:tabs>
        <w:ind w:left="6480" w:hanging="360"/>
      </w:pPr>
      <w:rPr>
        <w:rFonts w:ascii="Arial" w:hAnsi="Arial" w:hint="default"/>
      </w:rPr>
    </w:lvl>
  </w:abstractNum>
  <w:abstractNum w:abstractNumId="18">
    <w:nsid w:val="7FB517AB"/>
    <w:multiLevelType w:val="hybridMultilevel"/>
    <w:tmpl w:val="55787412"/>
    <w:lvl w:ilvl="0" w:tplc="5BE26836">
      <w:start w:val="1"/>
      <w:numFmt w:val="bullet"/>
      <w:lvlText w:val="•"/>
      <w:lvlJc w:val="left"/>
      <w:pPr>
        <w:tabs>
          <w:tab w:val="num" w:pos="720"/>
        </w:tabs>
        <w:ind w:left="720" w:hanging="360"/>
      </w:pPr>
      <w:rPr>
        <w:rFonts w:ascii="Arial" w:hAnsi="Arial" w:hint="default"/>
      </w:rPr>
    </w:lvl>
    <w:lvl w:ilvl="1" w:tplc="78ACF7F0">
      <w:start w:val="611"/>
      <w:numFmt w:val="bullet"/>
      <w:lvlText w:val="–"/>
      <w:lvlJc w:val="left"/>
      <w:pPr>
        <w:tabs>
          <w:tab w:val="num" w:pos="1440"/>
        </w:tabs>
        <w:ind w:left="1440" w:hanging="360"/>
      </w:pPr>
      <w:rPr>
        <w:rFonts w:ascii="Arial" w:hAnsi="Arial" w:hint="default"/>
      </w:rPr>
    </w:lvl>
    <w:lvl w:ilvl="2" w:tplc="687E0F8C" w:tentative="1">
      <w:start w:val="1"/>
      <w:numFmt w:val="bullet"/>
      <w:lvlText w:val="•"/>
      <w:lvlJc w:val="left"/>
      <w:pPr>
        <w:tabs>
          <w:tab w:val="num" w:pos="2160"/>
        </w:tabs>
        <w:ind w:left="2160" w:hanging="360"/>
      </w:pPr>
      <w:rPr>
        <w:rFonts w:ascii="Arial" w:hAnsi="Arial" w:hint="default"/>
      </w:rPr>
    </w:lvl>
    <w:lvl w:ilvl="3" w:tplc="C7102444" w:tentative="1">
      <w:start w:val="1"/>
      <w:numFmt w:val="bullet"/>
      <w:lvlText w:val="•"/>
      <w:lvlJc w:val="left"/>
      <w:pPr>
        <w:tabs>
          <w:tab w:val="num" w:pos="2880"/>
        </w:tabs>
        <w:ind w:left="2880" w:hanging="360"/>
      </w:pPr>
      <w:rPr>
        <w:rFonts w:ascii="Arial" w:hAnsi="Arial" w:hint="default"/>
      </w:rPr>
    </w:lvl>
    <w:lvl w:ilvl="4" w:tplc="C48008E6" w:tentative="1">
      <w:start w:val="1"/>
      <w:numFmt w:val="bullet"/>
      <w:lvlText w:val="•"/>
      <w:lvlJc w:val="left"/>
      <w:pPr>
        <w:tabs>
          <w:tab w:val="num" w:pos="3600"/>
        </w:tabs>
        <w:ind w:left="3600" w:hanging="360"/>
      </w:pPr>
      <w:rPr>
        <w:rFonts w:ascii="Arial" w:hAnsi="Arial" w:hint="default"/>
      </w:rPr>
    </w:lvl>
    <w:lvl w:ilvl="5" w:tplc="A0FED1DC" w:tentative="1">
      <w:start w:val="1"/>
      <w:numFmt w:val="bullet"/>
      <w:lvlText w:val="•"/>
      <w:lvlJc w:val="left"/>
      <w:pPr>
        <w:tabs>
          <w:tab w:val="num" w:pos="4320"/>
        </w:tabs>
        <w:ind w:left="4320" w:hanging="360"/>
      </w:pPr>
      <w:rPr>
        <w:rFonts w:ascii="Arial" w:hAnsi="Arial" w:hint="default"/>
      </w:rPr>
    </w:lvl>
    <w:lvl w:ilvl="6" w:tplc="601EE6B2" w:tentative="1">
      <w:start w:val="1"/>
      <w:numFmt w:val="bullet"/>
      <w:lvlText w:val="•"/>
      <w:lvlJc w:val="left"/>
      <w:pPr>
        <w:tabs>
          <w:tab w:val="num" w:pos="5040"/>
        </w:tabs>
        <w:ind w:left="5040" w:hanging="360"/>
      </w:pPr>
      <w:rPr>
        <w:rFonts w:ascii="Arial" w:hAnsi="Arial" w:hint="default"/>
      </w:rPr>
    </w:lvl>
    <w:lvl w:ilvl="7" w:tplc="B972E002" w:tentative="1">
      <w:start w:val="1"/>
      <w:numFmt w:val="bullet"/>
      <w:lvlText w:val="•"/>
      <w:lvlJc w:val="left"/>
      <w:pPr>
        <w:tabs>
          <w:tab w:val="num" w:pos="5760"/>
        </w:tabs>
        <w:ind w:left="5760" w:hanging="360"/>
      </w:pPr>
      <w:rPr>
        <w:rFonts w:ascii="Arial" w:hAnsi="Arial" w:hint="default"/>
      </w:rPr>
    </w:lvl>
    <w:lvl w:ilvl="8" w:tplc="3B742F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6"/>
  </w:num>
  <w:num w:numId="3">
    <w:abstractNumId w:val="11"/>
  </w:num>
  <w:num w:numId="4">
    <w:abstractNumId w:val="7"/>
  </w:num>
  <w:num w:numId="5">
    <w:abstractNumId w:val="18"/>
  </w:num>
  <w:num w:numId="6">
    <w:abstractNumId w:val="0"/>
  </w:num>
  <w:num w:numId="7">
    <w:abstractNumId w:val="3"/>
  </w:num>
  <w:num w:numId="8">
    <w:abstractNumId w:val="17"/>
  </w:num>
  <w:num w:numId="9">
    <w:abstractNumId w:val="10"/>
  </w:num>
  <w:num w:numId="10">
    <w:abstractNumId w:val="6"/>
  </w:num>
  <w:num w:numId="11">
    <w:abstractNumId w:val="9"/>
  </w:num>
  <w:num w:numId="12">
    <w:abstractNumId w:val="14"/>
  </w:num>
  <w:num w:numId="13">
    <w:abstractNumId w:val="4"/>
  </w:num>
  <w:num w:numId="14">
    <w:abstractNumId w:val="13"/>
  </w:num>
  <w:num w:numId="15">
    <w:abstractNumId w:val="5"/>
  </w:num>
  <w:num w:numId="16">
    <w:abstractNumId w:val="15"/>
  </w:num>
  <w:num w:numId="17">
    <w:abstractNumId w:val="12"/>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E5"/>
    <w:rsid w:val="00000E2B"/>
    <w:rsid w:val="0000689B"/>
    <w:rsid w:val="0004091D"/>
    <w:rsid w:val="00043A41"/>
    <w:rsid w:val="00046332"/>
    <w:rsid w:val="00050F23"/>
    <w:rsid w:val="000532BA"/>
    <w:rsid w:val="0007732F"/>
    <w:rsid w:val="0008516B"/>
    <w:rsid w:val="00085325"/>
    <w:rsid w:val="0008646E"/>
    <w:rsid w:val="00093A14"/>
    <w:rsid w:val="000A0795"/>
    <w:rsid w:val="000A5011"/>
    <w:rsid w:val="000C527A"/>
    <w:rsid w:val="000D53C5"/>
    <w:rsid w:val="000D5B88"/>
    <w:rsid w:val="000F00CB"/>
    <w:rsid w:val="00113D97"/>
    <w:rsid w:val="0016793E"/>
    <w:rsid w:val="001749AC"/>
    <w:rsid w:val="0017796B"/>
    <w:rsid w:val="00186EA1"/>
    <w:rsid w:val="00195435"/>
    <w:rsid w:val="001A6B36"/>
    <w:rsid w:val="001C11D5"/>
    <w:rsid w:val="001E251D"/>
    <w:rsid w:val="001E2D57"/>
    <w:rsid w:val="00215518"/>
    <w:rsid w:val="002302C1"/>
    <w:rsid w:val="00276212"/>
    <w:rsid w:val="002A60F8"/>
    <w:rsid w:val="002A7B07"/>
    <w:rsid w:val="002B53F4"/>
    <w:rsid w:val="002C1D58"/>
    <w:rsid w:val="002D3233"/>
    <w:rsid w:val="002F202E"/>
    <w:rsid w:val="00345649"/>
    <w:rsid w:val="003466A4"/>
    <w:rsid w:val="00350434"/>
    <w:rsid w:val="003578BB"/>
    <w:rsid w:val="00357A65"/>
    <w:rsid w:val="003828B5"/>
    <w:rsid w:val="003856A9"/>
    <w:rsid w:val="003B5EF3"/>
    <w:rsid w:val="003B79EF"/>
    <w:rsid w:val="003C376E"/>
    <w:rsid w:val="003F2A21"/>
    <w:rsid w:val="00442946"/>
    <w:rsid w:val="00443502"/>
    <w:rsid w:val="004530A5"/>
    <w:rsid w:val="00454FDD"/>
    <w:rsid w:val="004631D3"/>
    <w:rsid w:val="00472489"/>
    <w:rsid w:val="00490AE5"/>
    <w:rsid w:val="004926A3"/>
    <w:rsid w:val="00494418"/>
    <w:rsid w:val="0049683F"/>
    <w:rsid w:val="00496EC9"/>
    <w:rsid w:val="004E448C"/>
    <w:rsid w:val="004F001D"/>
    <w:rsid w:val="004F31D5"/>
    <w:rsid w:val="00501585"/>
    <w:rsid w:val="00505802"/>
    <w:rsid w:val="00531A1C"/>
    <w:rsid w:val="00533ADC"/>
    <w:rsid w:val="00533BEB"/>
    <w:rsid w:val="00541500"/>
    <w:rsid w:val="00547C02"/>
    <w:rsid w:val="0058350A"/>
    <w:rsid w:val="005944F2"/>
    <w:rsid w:val="005B3977"/>
    <w:rsid w:val="005B5148"/>
    <w:rsid w:val="005B5813"/>
    <w:rsid w:val="005E1195"/>
    <w:rsid w:val="005E4A67"/>
    <w:rsid w:val="005F481E"/>
    <w:rsid w:val="00627506"/>
    <w:rsid w:val="006352CD"/>
    <w:rsid w:val="00650C2C"/>
    <w:rsid w:val="00657FA6"/>
    <w:rsid w:val="006609DC"/>
    <w:rsid w:val="00673B87"/>
    <w:rsid w:val="00691ED4"/>
    <w:rsid w:val="006A0209"/>
    <w:rsid w:val="006B2812"/>
    <w:rsid w:val="006C1854"/>
    <w:rsid w:val="006E1141"/>
    <w:rsid w:val="006E2946"/>
    <w:rsid w:val="00704D06"/>
    <w:rsid w:val="00720734"/>
    <w:rsid w:val="00723DC6"/>
    <w:rsid w:val="007643CA"/>
    <w:rsid w:val="00777155"/>
    <w:rsid w:val="007901CA"/>
    <w:rsid w:val="007B5143"/>
    <w:rsid w:val="007B7394"/>
    <w:rsid w:val="007C0D3A"/>
    <w:rsid w:val="007D1BD1"/>
    <w:rsid w:val="007D2171"/>
    <w:rsid w:val="00805F90"/>
    <w:rsid w:val="008165A0"/>
    <w:rsid w:val="00844213"/>
    <w:rsid w:val="008545FE"/>
    <w:rsid w:val="008560F9"/>
    <w:rsid w:val="0086538F"/>
    <w:rsid w:val="008755BD"/>
    <w:rsid w:val="008A6137"/>
    <w:rsid w:val="008C5B7C"/>
    <w:rsid w:val="008D0779"/>
    <w:rsid w:val="008D702E"/>
    <w:rsid w:val="008E3FBD"/>
    <w:rsid w:val="008F24EF"/>
    <w:rsid w:val="008F2D04"/>
    <w:rsid w:val="00911FA4"/>
    <w:rsid w:val="00915D21"/>
    <w:rsid w:val="0092036C"/>
    <w:rsid w:val="009215F2"/>
    <w:rsid w:val="00924F64"/>
    <w:rsid w:val="009402E1"/>
    <w:rsid w:val="00942607"/>
    <w:rsid w:val="009545D4"/>
    <w:rsid w:val="00954C30"/>
    <w:rsid w:val="009768AA"/>
    <w:rsid w:val="00983DE0"/>
    <w:rsid w:val="0098427D"/>
    <w:rsid w:val="00996682"/>
    <w:rsid w:val="00997234"/>
    <w:rsid w:val="009A0D0E"/>
    <w:rsid w:val="009A5725"/>
    <w:rsid w:val="009C0662"/>
    <w:rsid w:val="009D3308"/>
    <w:rsid w:val="009E04C4"/>
    <w:rsid w:val="009E3E84"/>
    <w:rsid w:val="009F4129"/>
    <w:rsid w:val="00A26B03"/>
    <w:rsid w:val="00A27C36"/>
    <w:rsid w:val="00A44779"/>
    <w:rsid w:val="00A51FE4"/>
    <w:rsid w:val="00A5292D"/>
    <w:rsid w:val="00A65D04"/>
    <w:rsid w:val="00A75401"/>
    <w:rsid w:val="00A77325"/>
    <w:rsid w:val="00A8216B"/>
    <w:rsid w:val="00AB0507"/>
    <w:rsid w:val="00B158A8"/>
    <w:rsid w:val="00B27AE9"/>
    <w:rsid w:val="00B30F46"/>
    <w:rsid w:val="00B35E0A"/>
    <w:rsid w:val="00B700B8"/>
    <w:rsid w:val="00B7292B"/>
    <w:rsid w:val="00B83E46"/>
    <w:rsid w:val="00B83F1A"/>
    <w:rsid w:val="00BB4187"/>
    <w:rsid w:val="00BC29AD"/>
    <w:rsid w:val="00BC59C6"/>
    <w:rsid w:val="00BE2A9A"/>
    <w:rsid w:val="00BF1BA8"/>
    <w:rsid w:val="00C01F97"/>
    <w:rsid w:val="00C12F55"/>
    <w:rsid w:val="00C236A0"/>
    <w:rsid w:val="00C32314"/>
    <w:rsid w:val="00C33E70"/>
    <w:rsid w:val="00C41280"/>
    <w:rsid w:val="00C416E1"/>
    <w:rsid w:val="00C42141"/>
    <w:rsid w:val="00C44297"/>
    <w:rsid w:val="00C645D3"/>
    <w:rsid w:val="00C6543B"/>
    <w:rsid w:val="00C83186"/>
    <w:rsid w:val="00C90573"/>
    <w:rsid w:val="00C92D3E"/>
    <w:rsid w:val="00CC79D9"/>
    <w:rsid w:val="00D02892"/>
    <w:rsid w:val="00D02CC7"/>
    <w:rsid w:val="00D04E1F"/>
    <w:rsid w:val="00D233D9"/>
    <w:rsid w:val="00D30236"/>
    <w:rsid w:val="00D55CFF"/>
    <w:rsid w:val="00D7436F"/>
    <w:rsid w:val="00D74BF9"/>
    <w:rsid w:val="00D91763"/>
    <w:rsid w:val="00DB0F5F"/>
    <w:rsid w:val="00DE3313"/>
    <w:rsid w:val="00DF6541"/>
    <w:rsid w:val="00E03081"/>
    <w:rsid w:val="00E052CA"/>
    <w:rsid w:val="00E12888"/>
    <w:rsid w:val="00E37059"/>
    <w:rsid w:val="00E42F8F"/>
    <w:rsid w:val="00E615D1"/>
    <w:rsid w:val="00E6303C"/>
    <w:rsid w:val="00E765A6"/>
    <w:rsid w:val="00E9103B"/>
    <w:rsid w:val="00EB623E"/>
    <w:rsid w:val="00EB69C9"/>
    <w:rsid w:val="00ED1E87"/>
    <w:rsid w:val="00EF39BD"/>
    <w:rsid w:val="00EF534E"/>
    <w:rsid w:val="00EF6906"/>
    <w:rsid w:val="00F034BF"/>
    <w:rsid w:val="00F054C5"/>
    <w:rsid w:val="00F13D47"/>
    <w:rsid w:val="00F13F13"/>
    <w:rsid w:val="00F159E2"/>
    <w:rsid w:val="00F23049"/>
    <w:rsid w:val="00F43998"/>
    <w:rsid w:val="00F536E3"/>
    <w:rsid w:val="00F6601A"/>
    <w:rsid w:val="00F76AB5"/>
    <w:rsid w:val="00FC1F3D"/>
    <w:rsid w:val="00FE0190"/>
    <w:rsid w:val="00FF1AD6"/>
    <w:rsid w:val="00FF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E5"/>
  </w:style>
  <w:style w:type="paragraph" w:styleId="Heading1">
    <w:name w:val="heading 1"/>
    <w:basedOn w:val="Normal"/>
    <w:next w:val="Normal"/>
    <w:link w:val="Heading1Char"/>
    <w:uiPriority w:val="9"/>
    <w:qFormat/>
    <w:rsid w:val="00276212"/>
    <w:pPr>
      <w:outlineLvl w:val="0"/>
    </w:pPr>
    <w:rPr>
      <w:b/>
      <w:sz w:val="28"/>
    </w:rPr>
  </w:style>
  <w:style w:type="paragraph" w:styleId="Heading2">
    <w:name w:val="heading 2"/>
    <w:basedOn w:val="Normal"/>
    <w:next w:val="Normal"/>
    <w:link w:val="Heading2Char"/>
    <w:uiPriority w:val="9"/>
    <w:unhideWhenUsed/>
    <w:qFormat/>
    <w:rsid w:val="00454F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5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9C6"/>
  </w:style>
  <w:style w:type="paragraph" w:styleId="Footer">
    <w:name w:val="footer"/>
    <w:basedOn w:val="Normal"/>
    <w:link w:val="FooterChar"/>
    <w:uiPriority w:val="99"/>
    <w:unhideWhenUsed/>
    <w:rsid w:val="00BC5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9C6"/>
  </w:style>
  <w:style w:type="paragraph" w:styleId="ListParagraph">
    <w:name w:val="List Paragraph"/>
    <w:basedOn w:val="Normal"/>
    <w:uiPriority w:val="34"/>
    <w:qFormat/>
    <w:rsid w:val="00472489"/>
    <w:pPr>
      <w:ind w:left="720"/>
      <w:contextualSpacing/>
    </w:pPr>
  </w:style>
  <w:style w:type="character" w:customStyle="1" w:styleId="Heading1Char">
    <w:name w:val="Heading 1 Char"/>
    <w:basedOn w:val="DefaultParagraphFont"/>
    <w:link w:val="Heading1"/>
    <w:uiPriority w:val="9"/>
    <w:rsid w:val="00276212"/>
    <w:rPr>
      <w:b/>
      <w:sz w:val="28"/>
    </w:rPr>
  </w:style>
  <w:style w:type="character" w:styleId="CommentReference">
    <w:name w:val="annotation reference"/>
    <w:basedOn w:val="DefaultParagraphFont"/>
    <w:uiPriority w:val="99"/>
    <w:semiHidden/>
    <w:unhideWhenUsed/>
    <w:rsid w:val="00F13D47"/>
    <w:rPr>
      <w:sz w:val="16"/>
      <w:szCs w:val="16"/>
    </w:rPr>
  </w:style>
  <w:style w:type="paragraph" w:styleId="CommentText">
    <w:name w:val="annotation text"/>
    <w:basedOn w:val="Normal"/>
    <w:link w:val="CommentTextChar"/>
    <w:uiPriority w:val="99"/>
    <w:unhideWhenUsed/>
    <w:rsid w:val="00F13D47"/>
    <w:pPr>
      <w:spacing w:line="240" w:lineRule="auto"/>
    </w:pPr>
    <w:rPr>
      <w:sz w:val="20"/>
      <w:szCs w:val="20"/>
    </w:rPr>
  </w:style>
  <w:style w:type="character" w:customStyle="1" w:styleId="CommentTextChar">
    <w:name w:val="Comment Text Char"/>
    <w:basedOn w:val="DefaultParagraphFont"/>
    <w:link w:val="CommentText"/>
    <w:uiPriority w:val="99"/>
    <w:rsid w:val="00F13D47"/>
    <w:rPr>
      <w:sz w:val="20"/>
      <w:szCs w:val="20"/>
    </w:rPr>
  </w:style>
  <w:style w:type="paragraph" w:styleId="CommentSubject">
    <w:name w:val="annotation subject"/>
    <w:basedOn w:val="CommentText"/>
    <w:next w:val="CommentText"/>
    <w:link w:val="CommentSubjectChar"/>
    <w:uiPriority w:val="99"/>
    <w:semiHidden/>
    <w:unhideWhenUsed/>
    <w:rsid w:val="00F13D47"/>
    <w:rPr>
      <w:b/>
      <w:bCs/>
    </w:rPr>
  </w:style>
  <w:style w:type="character" w:customStyle="1" w:styleId="CommentSubjectChar">
    <w:name w:val="Comment Subject Char"/>
    <w:basedOn w:val="CommentTextChar"/>
    <w:link w:val="CommentSubject"/>
    <w:uiPriority w:val="99"/>
    <w:semiHidden/>
    <w:rsid w:val="00F13D47"/>
    <w:rPr>
      <w:b/>
      <w:bCs/>
      <w:sz w:val="20"/>
      <w:szCs w:val="20"/>
    </w:rPr>
  </w:style>
  <w:style w:type="paragraph" w:styleId="BalloonText">
    <w:name w:val="Balloon Text"/>
    <w:basedOn w:val="Normal"/>
    <w:link w:val="BalloonTextChar"/>
    <w:uiPriority w:val="99"/>
    <w:semiHidden/>
    <w:unhideWhenUsed/>
    <w:rsid w:val="00F1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47"/>
    <w:rPr>
      <w:rFonts w:ascii="Tahoma" w:hAnsi="Tahoma" w:cs="Tahoma"/>
      <w:sz w:val="16"/>
      <w:szCs w:val="16"/>
    </w:rPr>
  </w:style>
  <w:style w:type="paragraph" w:styleId="Caption">
    <w:name w:val="caption"/>
    <w:basedOn w:val="Normal"/>
    <w:next w:val="Normal"/>
    <w:uiPriority w:val="35"/>
    <w:unhideWhenUsed/>
    <w:qFormat/>
    <w:rsid w:val="00113D97"/>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454FD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7796B"/>
    <w:pPr>
      <w:keepNext/>
      <w:keepLines/>
      <w:spacing w:before="480" w:after="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17796B"/>
    <w:pPr>
      <w:spacing w:after="100"/>
    </w:pPr>
  </w:style>
  <w:style w:type="character" w:styleId="Hyperlink">
    <w:name w:val="Hyperlink"/>
    <w:basedOn w:val="DefaultParagraphFont"/>
    <w:uiPriority w:val="99"/>
    <w:unhideWhenUsed/>
    <w:rsid w:val="0017796B"/>
    <w:rPr>
      <w:color w:val="0000FF" w:themeColor="hyperlink"/>
      <w:u w:val="single"/>
    </w:rPr>
  </w:style>
  <w:style w:type="paragraph" w:styleId="Revision">
    <w:name w:val="Revision"/>
    <w:hidden/>
    <w:uiPriority w:val="99"/>
    <w:semiHidden/>
    <w:rsid w:val="00B83F1A"/>
    <w:pPr>
      <w:spacing w:after="0" w:line="240" w:lineRule="auto"/>
    </w:pPr>
  </w:style>
  <w:style w:type="paragraph" w:styleId="FootnoteText">
    <w:name w:val="footnote text"/>
    <w:basedOn w:val="Normal"/>
    <w:link w:val="FootnoteTextChar"/>
    <w:uiPriority w:val="99"/>
    <w:semiHidden/>
    <w:rsid w:val="00983DE0"/>
    <w:pPr>
      <w:tabs>
        <w:tab w:val="left" w:pos="284"/>
      </w:tabs>
      <w:spacing w:after="160" w:line="220" w:lineRule="exact"/>
      <w:jc w:val="both"/>
    </w:pPr>
    <w:rPr>
      <w:rFonts w:eastAsia="Times New Roman" w:cs="Times New Roman"/>
      <w:sz w:val="16"/>
      <w:szCs w:val="20"/>
      <w:lang w:eastAsia="en-GB"/>
    </w:rPr>
  </w:style>
  <w:style w:type="character" w:customStyle="1" w:styleId="FootnoteTextChar">
    <w:name w:val="Footnote Text Char"/>
    <w:basedOn w:val="DefaultParagraphFont"/>
    <w:link w:val="FootnoteText"/>
    <w:uiPriority w:val="99"/>
    <w:semiHidden/>
    <w:rsid w:val="00983DE0"/>
    <w:rPr>
      <w:rFonts w:eastAsia="Times New Roman" w:cs="Times New Roman"/>
      <w:sz w:val="16"/>
      <w:szCs w:val="20"/>
      <w:lang w:eastAsia="en-GB"/>
    </w:rPr>
  </w:style>
  <w:style w:type="character" w:styleId="FootnoteReference">
    <w:name w:val="footnote reference"/>
    <w:uiPriority w:val="99"/>
    <w:semiHidden/>
    <w:rsid w:val="00983DE0"/>
    <w:rPr>
      <w:rFonts w:ascii="Arial" w:hAnsi="Arial"/>
      <w:sz w:val="20"/>
      <w:vertAlign w:val="superscript"/>
    </w:rPr>
  </w:style>
  <w:style w:type="paragraph" w:styleId="Title">
    <w:name w:val="Title"/>
    <w:basedOn w:val="Normal"/>
    <w:next w:val="Normal"/>
    <w:link w:val="TitleChar"/>
    <w:uiPriority w:val="10"/>
    <w:qFormat/>
    <w:rsid w:val="00A773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325"/>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D233D9"/>
    <w:pPr>
      <w:spacing w:before="40" w:after="40" w:line="240" w:lineRule="auto"/>
      <w:ind w:left="170" w:right="170"/>
      <w:jc w:val="both"/>
    </w:pPr>
    <w:rPr>
      <w:rFonts w:ascii="Arial" w:eastAsia="Times New Roman" w:hAnsi="Arial" w:cs="Times New Roman"/>
      <w:sz w:val="18"/>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left w:w="0" w:type="dxa"/>
        <w:right w:w="0" w:type="dxa"/>
      </w:tcMar>
    </w:tcPr>
    <w:tblStylePr w:type="firstRow">
      <w:rPr>
        <w:b/>
        <w:color w:val="FFFFFF"/>
        <w:sz w:val="18"/>
      </w:rPr>
      <w:tblPr/>
      <w:tcPr>
        <w:shd w:val="clear" w:color="auto" w:fill="0D92BB"/>
      </w:tcPr>
    </w:tblStylePr>
  </w:style>
  <w:style w:type="table" w:styleId="TableGrid">
    <w:name w:val="Table Grid"/>
    <w:basedOn w:val="TableNormal"/>
    <w:uiPriority w:val="59"/>
    <w:rsid w:val="00D2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E5"/>
  </w:style>
  <w:style w:type="paragraph" w:styleId="Heading1">
    <w:name w:val="heading 1"/>
    <w:basedOn w:val="Normal"/>
    <w:next w:val="Normal"/>
    <w:link w:val="Heading1Char"/>
    <w:uiPriority w:val="9"/>
    <w:qFormat/>
    <w:rsid w:val="00276212"/>
    <w:pPr>
      <w:outlineLvl w:val="0"/>
    </w:pPr>
    <w:rPr>
      <w:b/>
      <w:sz w:val="28"/>
    </w:rPr>
  </w:style>
  <w:style w:type="paragraph" w:styleId="Heading2">
    <w:name w:val="heading 2"/>
    <w:basedOn w:val="Normal"/>
    <w:next w:val="Normal"/>
    <w:link w:val="Heading2Char"/>
    <w:uiPriority w:val="9"/>
    <w:unhideWhenUsed/>
    <w:qFormat/>
    <w:rsid w:val="00454F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C5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9C6"/>
  </w:style>
  <w:style w:type="paragraph" w:styleId="Footer">
    <w:name w:val="footer"/>
    <w:basedOn w:val="Normal"/>
    <w:link w:val="FooterChar"/>
    <w:uiPriority w:val="99"/>
    <w:unhideWhenUsed/>
    <w:rsid w:val="00BC5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9C6"/>
  </w:style>
  <w:style w:type="paragraph" w:styleId="ListParagraph">
    <w:name w:val="List Paragraph"/>
    <w:basedOn w:val="Normal"/>
    <w:uiPriority w:val="34"/>
    <w:qFormat/>
    <w:rsid w:val="00472489"/>
    <w:pPr>
      <w:ind w:left="720"/>
      <w:contextualSpacing/>
    </w:pPr>
  </w:style>
  <w:style w:type="character" w:customStyle="1" w:styleId="Heading1Char">
    <w:name w:val="Heading 1 Char"/>
    <w:basedOn w:val="DefaultParagraphFont"/>
    <w:link w:val="Heading1"/>
    <w:uiPriority w:val="9"/>
    <w:rsid w:val="00276212"/>
    <w:rPr>
      <w:b/>
      <w:sz w:val="28"/>
    </w:rPr>
  </w:style>
  <w:style w:type="character" w:styleId="CommentReference">
    <w:name w:val="annotation reference"/>
    <w:basedOn w:val="DefaultParagraphFont"/>
    <w:uiPriority w:val="99"/>
    <w:semiHidden/>
    <w:unhideWhenUsed/>
    <w:rsid w:val="00F13D47"/>
    <w:rPr>
      <w:sz w:val="16"/>
      <w:szCs w:val="16"/>
    </w:rPr>
  </w:style>
  <w:style w:type="paragraph" w:styleId="CommentText">
    <w:name w:val="annotation text"/>
    <w:basedOn w:val="Normal"/>
    <w:link w:val="CommentTextChar"/>
    <w:uiPriority w:val="99"/>
    <w:unhideWhenUsed/>
    <w:rsid w:val="00F13D47"/>
    <w:pPr>
      <w:spacing w:line="240" w:lineRule="auto"/>
    </w:pPr>
    <w:rPr>
      <w:sz w:val="20"/>
      <w:szCs w:val="20"/>
    </w:rPr>
  </w:style>
  <w:style w:type="character" w:customStyle="1" w:styleId="CommentTextChar">
    <w:name w:val="Comment Text Char"/>
    <w:basedOn w:val="DefaultParagraphFont"/>
    <w:link w:val="CommentText"/>
    <w:uiPriority w:val="99"/>
    <w:rsid w:val="00F13D47"/>
    <w:rPr>
      <w:sz w:val="20"/>
      <w:szCs w:val="20"/>
    </w:rPr>
  </w:style>
  <w:style w:type="paragraph" w:styleId="CommentSubject">
    <w:name w:val="annotation subject"/>
    <w:basedOn w:val="CommentText"/>
    <w:next w:val="CommentText"/>
    <w:link w:val="CommentSubjectChar"/>
    <w:uiPriority w:val="99"/>
    <w:semiHidden/>
    <w:unhideWhenUsed/>
    <w:rsid w:val="00F13D47"/>
    <w:rPr>
      <w:b/>
      <w:bCs/>
    </w:rPr>
  </w:style>
  <w:style w:type="character" w:customStyle="1" w:styleId="CommentSubjectChar">
    <w:name w:val="Comment Subject Char"/>
    <w:basedOn w:val="CommentTextChar"/>
    <w:link w:val="CommentSubject"/>
    <w:uiPriority w:val="99"/>
    <w:semiHidden/>
    <w:rsid w:val="00F13D47"/>
    <w:rPr>
      <w:b/>
      <w:bCs/>
      <w:sz w:val="20"/>
      <w:szCs w:val="20"/>
    </w:rPr>
  </w:style>
  <w:style w:type="paragraph" w:styleId="BalloonText">
    <w:name w:val="Balloon Text"/>
    <w:basedOn w:val="Normal"/>
    <w:link w:val="BalloonTextChar"/>
    <w:uiPriority w:val="99"/>
    <w:semiHidden/>
    <w:unhideWhenUsed/>
    <w:rsid w:val="00F1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47"/>
    <w:rPr>
      <w:rFonts w:ascii="Tahoma" w:hAnsi="Tahoma" w:cs="Tahoma"/>
      <w:sz w:val="16"/>
      <w:szCs w:val="16"/>
    </w:rPr>
  </w:style>
  <w:style w:type="paragraph" w:styleId="Caption">
    <w:name w:val="caption"/>
    <w:basedOn w:val="Normal"/>
    <w:next w:val="Normal"/>
    <w:uiPriority w:val="35"/>
    <w:unhideWhenUsed/>
    <w:qFormat/>
    <w:rsid w:val="00113D97"/>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454FD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7796B"/>
    <w:pPr>
      <w:keepNext/>
      <w:keepLines/>
      <w:spacing w:before="480" w:after="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17796B"/>
    <w:pPr>
      <w:spacing w:after="100"/>
    </w:pPr>
  </w:style>
  <w:style w:type="character" w:styleId="Hyperlink">
    <w:name w:val="Hyperlink"/>
    <w:basedOn w:val="DefaultParagraphFont"/>
    <w:uiPriority w:val="99"/>
    <w:unhideWhenUsed/>
    <w:rsid w:val="0017796B"/>
    <w:rPr>
      <w:color w:val="0000FF" w:themeColor="hyperlink"/>
      <w:u w:val="single"/>
    </w:rPr>
  </w:style>
  <w:style w:type="paragraph" w:styleId="Revision">
    <w:name w:val="Revision"/>
    <w:hidden/>
    <w:uiPriority w:val="99"/>
    <w:semiHidden/>
    <w:rsid w:val="00B83F1A"/>
    <w:pPr>
      <w:spacing w:after="0" w:line="240" w:lineRule="auto"/>
    </w:pPr>
  </w:style>
  <w:style w:type="paragraph" w:styleId="FootnoteText">
    <w:name w:val="footnote text"/>
    <w:basedOn w:val="Normal"/>
    <w:link w:val="FootnoteTextChar"/>
    <w:uiPriority w:val="99"/>
    <w:semiHidden/>
    <w:rsid w:val="00983DE0"/>
    <w:pPr>
      <w:tabs>
        <w:tab w:val="left" w:pos="284"/>
      </w:tabs>
      <w:spacing w:after="160" w:line="220" w:lineRule="exact"/>
      <w:jc w:val="both"/>
    </w:pPr>
    <w:rPr>
      <w:rFonts w:eastAsia="Times New Roman" w:cs="Times New Roman"/>
      <w:sz w:val="16"/>
      <w:szCs w:val="20"/>
      <w:lang w:eastAsia="en-GB"/>
    </w:rPr>
  </w:style>
  <w:style w:type="character" w:customStyle="1" w:styleId="FootnoteTextChar">
    <w:name w:val="Footnote Text Char"/>
    <w:basedOn w:val="DefaultParagraphFont"/>
    <w:link w:val="FootnoteText"/>
    <w:uiPriority w:val="99"/>
    <w:semiHidden/>
    <w:rsid w:val="00983DE0"/>
    <w:rPr>
      <w:rFonts w:eastAsia="Times New Roman" w:cs="Times New Roman"/>
      <w:sz w:val="16"/>
      <w:szCs w:val="20"/>
      <w:lang w:eastAsia="en-GB"/>
    </w:rPr>
  </w:style>
  <w:style w:type="character" w:styleId="FootnoteReference">
    <w:name w:val="footnote reference"/>
    <w:uiPriority w:val="99"/>
    <w:semiHidden/>
    <w:rsid w:val="00983DE0"/>
    <w:rPr>
      <w:rFonts w:ascii="Arial" w:hAnsi="Arial"/>
      <w:sz w:val="20"/>
      <w:vertAlign w:val="superscript"/>
    </w:rPr>
  </w:style>
  <w:style w:type="paragraph" w:styleId="Title">
    <w:name w:val="Title"/>
    <w:basedOn w:val="Normal"/>
    <w:next w:val="Normal"/>
    <w:link w:val="TitleChar"/>
    <w:uiPriority w:val="10"/>
    <w:qFormat/>
    <w:rsid w:val="00A773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7325"/>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D233D9"/>
    <w:pPr>
      <w:spacing w:before="40" w:after="40" w:line="240" w:lineRule="auto"/>
      <w:ind w:left="170" w:right="170"/>
      <w:jc w:val="both"/>
    </w:pPr>
    <w:rPr>
      <w:rFonts w:ascii="Arial" w:eastAsia="Times New Roman" w:hAnsi="Arial" w:cs="Times New Roman"/>
      <w:sz w:val="18"/>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left w:w="0" w:type="dxa"/>
        <w:right w:w="0" w:type="dxa"/>
      </w:tcMar>
    </w:tcPr>
    <w:tblStylePr w:type="firstRow">
      <w:rPr>
        <w:b/>
        <w:color w:val="FFFFFF"/>
        <w:sz w:val="18"/>
      </w:rPr>
      <w:tblPr/>
      <w:tcPr>
        <w:shd w:val="clear" w:color="auto" w:fill="0D92BB"/>
      </w:tcPr>
    </w:tblStylePr>
  </w:style>
  <w:style w:type="table" w:styleId="TableGrid">
    <w:name w:val="Table Grid"/>
    <w:basedOn w:val="TableNormal"/>
    <w:uiPriority w:val="59"/>
    <w:rsid w:val="00D2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3504">
      <w:bodyDiv w:val="1"/>
      <w:marLeft w:val="0"/>
      <w:marRight w:val="0"/>
      <w:marTop w:val="0"/>
      <w:marBottom w:val="0"/>
      <w:divBdr>
        <w:top w:val="none" w:sz="0" w:space="0" w:color="auto"/>
        <w:left w:val="none" w:sz="0" w:space="0" w:color="auto"/>
        <w:bottom w:val="none" w:sz="0" w:space="0" w:color="auto"/>
        <w:right w:val="none" w:sz="0" w:space="0" w:color="auto"/>
      </w:divBdr>
      <w:divsChild>
        <w:div w:id="36249690">
          <w:marLeft w:val="1166"/>
          <w:marRight w:val="0"/>
          <w:marTop w:val="115"/>
          <w:marBottom w:val="0"/>
          <w:divBdr>
            <w:top w:val="none" w:sz="0" w:space="0" w:color="auto"/>
            <w:left w:val="none" w:sz="0" w:space="0" w:color="auto"/>
            <w:bottom w:val="none" w:sz="0" w:space="0" w:color="auto"/>
            <w:right w:val="none" w:sz="0" w:space="0" w:color="auto"/>
          </w:divBdr>
        </w:div>
        <w:div w:id="339086361">
          <w:marLeft w:val="1166"/>
          <w:marRight w:val="0"/>
          <w:marTop w:val="115"/>
          <w:marBottom w:val="0"/>
          <w:divBdr>
            <w:top w:val="none" w:sz="0" w:space="0" w:color="auto"/>
            <w:left w:val="none" w:sz="0" w:space="0" w:color="auto"/>
            <w:bottom w:val="none" w:sz="0" w:space="0" w:color="auto"/>
            <w:right w:val="none" w:sz="0" w:space="0" w:color="auto"/>
          </w:divBdr>
        </w:div>
        <w:div w:id="358432149">
          <w:marLeft w:val="806"/>
          <w:marRight w:val="0"/>
          <w:marTop w:val="130"/>
          <w:marBottom w:val="0"/>
          <w:divBdr>
            <w:top w:val="none" w:sz="0" w:space="0" w:color="auto"/>
            <w:left w:val="none" w:sz="0" w:space="0" w:color="auto"/>
            <w:bottom w:val="none" w:sz="0" w:space="0" w:color="auto"/>
            <w:right w:val="none" w:sz="0" w:space="0" w:color="auto"/>
          </w:divBdr>
        </w:div>
        <w:div w:id="785730327">
          <w:marLeft w:val="1166"/>
          <w:marRight w:val="0"/>
          <w:marTop w:val="115"/>
          <w:marBottom w:val="0"/>
          <w:divBdr>
            <w:top w:val="none" w:sz="0" w:space="0" w:color="auto"/>
            <w:left w:val="none" w:sz="0" w:space="0" w:color="auto"/>
            <w:bottom w:val="none" w:sz="0" w:space="0" w:color="auto"/>
            <w:right w:val="none" w:sz="0" w:space="0" w:color="auto"/>
          </w:divBdr>
        </w:div>
        <w:div w:id="962882297">
          <w:marLeft w:val="547"/>
          <w:marRight w:val="0"/>
          <w:marTop w:val="130"/>
          <w:marBottom w:val="0"/>
          <w:divBdr>
            <w:top w:val="none" w:sz="0" w:space="0" w:color="auto"/>
            <w:left w:val="none" w:sz="0" w:space="0" w:color="auto"/>
            <w:bottom w:val="none" w:sz="0" w:space="0" w:color="auto"/>
            <w:right w:val="none" w:sz="0" w:space="0" w:color="auto"/>
          </w:divBdr>
        </w:div>
        <w:div w:id="1081830478">
          <w:marLeft w:val="1166"/>
          <w:marRight w:val="0"/>
          <w:marTop w:val="115"/>
          <w:marBottom w:val="0"/>
          <w:divBdr>
            <w:top w:val="none" w:sz="0" w:space="0" w:color="auto"/>
            <w:left w:val="none" w:sz="0" w:space="0" w:color="auto"/>
            <w:bottom w:val="none" w:sz="0" w:space="0" w:color="auto"/>
            <w:right w:val="none" w:sz="0" w:space="0" w:color="auto"/>
          </w:divBdr>
        </w:div>
        <w:div w:id="1279142633">
          <w:marLeft w:val="1166"/>
          <w:marRight w:val="0"/>
          <w:marTop w:val="115"/>
          <w:marBottom w:val="0"/>
          <w:divBdr>
            <w:top w:val="none" w:sz="0" w:space="0" w:color="auto"/>
            <w:left w:val="none" w:sz="0" w:space="0" w:color="auto"/>
            <w:bottom w:val="none" w:sz="0" w:space="0" w:color="auto"/>
            <w:right w:val="none" w:sz="0" w:space="0" w:color="auto"/>
          </w:divBdr>
        </w:div>
        <w:div w:id="1361278560">
          <w:marLeft w:val="547"/>
          <w:marRight w:val="0"/>
          <w:marTop w:val="130"/>
          <w:marBottom w:val="0"/>
          <w:divBdr>
            <w:top w:val="none" w:sz="0" w:space="0" w:color="auto"/>
            <w:left w:val="none" w:sz="0" w:space="0" w:color="auto"/>
            <w:bottom w:val="none" w:sz="0" w:space="0" w:color="auto"/>
            <w:right w:val="none" w:sz="0" w:space="0" w:color="auto"/>
          </w:divBdr>
        </w:div>
        <w:div w:id="1905607010">
          <w:marLeft w:val="806"/>
          <w:marRight w:val="0"/>
          <w:marTop w:val="130"/>
          <w:marBottom w:val="0"/>
          <w:divBdr>
            <w:top w:val="none" w:sz="0" w:space="0" w:color="auto"/>
            <w:left w:val="none" w:sz="0" w:space="0" w:color="auto"/>
            <w:bottom w:val="none" w:sz="0" w:space="0" w:color="auto"/>
            <w:right w:val="none" w:sz="0" w:space="0" w:color="auto"/>
          </w:divBdr>
        </w:div>
      </w:divsChild>
    </w:div>
    <w:div w:id="268120524">
      <w:bodyDiv w:val="1"/>
      <w:marLeft w:val="0"/>
      <w:marRight w:val="0"/>
      <w:marTop w:val="0"/>
      <w:marBottom w:val="0"/>
      <w:divBdr>
        <w:top w:val="none" w:sz="0" w:space="0" w:color="auto"/>
        <w:left w:val="none" w:sz="0" w:space="0" w:color="auto"/>
        <w:bottom w:val="none" w:sz="0" w:space="0" w:color="auto"/>
        <w:right w:val="none" w:sz="0" w:space="0" w:color="auto"/>
      </w:divBdr>
      <w:divsChild>
        <w:div w:id="1295791692">
          <w:marLeft w:val="547"/>
          <w:marRight w:val="0"/>
          <w:marTop w:val="154"/>
          <w:marBottom w:val="0"/>
          <w:divBdr>
            <w:top w:val="none" w:sz="0" w:space="0" w:color="auto"/>
            <w:left w:val="none" w:sz="0" w:space="0" w:color="auto"/>
            <w:bottom w:val="none" w:sz="0" w:space="0" w:color="auto"/>
            <w:right w:val="none" w:sz="0" w:space="0" w:color="auto"/>
          </w:divBdr>
        </w:div>
      </w:divsChild>
    </w:div>
    <w:div w:id="393235004">
      <w:bodyDiv w:val="1"/>
      <w:marLeft w:val="0"/>
      <w:marRight w:val="0"/>
      <w:marTop w:val="0"/>
      <w:marBottom w:val="0"/>
      <w:divBdr>
        <w:top w:val="none" w:sz="0" w:space="0" w:color="auto"/>
        <w:left w:val="none" w:sz="0" w:space="0" w:color="auto"/>
        <w:bottom w:val="none" w:sz="0" w:space="0" w:color="auto"/>
        <w:right w:val="none" w:sz="0" w:space="0" w:color="auto"/>
      </w:divBdr>
      <w:divsChild>
        <w:div w:id="49620341">
          <w:marLeft w:val="547"/>
          <w:marRight w:val="0"/>
          <w:marTop w:val="144"/>
          <w:marBottom w:val="0"/>
          <w:divBdr>
            <w:top w:val="none" w:sz="0" w:space="0" w:color="auto"/>
            <w:left w:val="none" w:sz="0" w:space="0" w:color="auto"/>
            <w:bottom w:val="none" w:sz="0" w:space="0" w:color="auto"/>
            <w:right w:val="none" w:sz="0" w:space="0" w:color="auto"/>
          </w:divBdr>
        </w:div>
        <w:div w:id="1003045287">
          <w:marLeft w:val="1166"/>
          <w:marRight w:val="0"/>
          <w:marTop w:val="125"/>
          <w:marBottom w:val="0"/>
          <w:divBdr>
            <w:top w:val="none" w:sz="0" w:space="0" w:color="auto"/>
            <w:left w:val="none" w:sz="0" w:space="0" w:color="auto"/>
            <w:bottom w:val="none" w:sz="0" w:space="0" w:color="auto"/>
            <w:right w:val="none" w:sz="0" w:space="0" w:color="auto"/>
          </w:divBdr>
        </w:div>
        <w:div w:id="1136870710">
          <w:marLeft w:val="1166"/>
          <w:marRight w:val="0"/>
          <w:marTop w:val="125"/>
          <w:marBottom w:val="0"/>
          <w:divBdr>
            <w:top w:val="none" w:sz="0" w:space="0" w:color="auto"/>
            <w:left w:val="none" w:sz="0" w:space="0" w:color="auto"/>
            <w:bottom w:val="none" w:sz="0" w:space="0" w:color="auto"/>
            <w:right w:val="none" w:sz="0" w:space="0" w:color="auto"/>
          </w:divBdr>
        </w:div>
        <w:div w:id="2113354623">
          <w:marLeft w:val="1166"/>
          <w:marRight w:val="0"/>
          <w:marTop w:val="125"/>
          <w:marBottom w:val="0"/>
          <w:divBdr>
            <w:top w:val="none" w:sz="0" w:space="0" w:color="auto"/>
            <w:left w:val="none" w:sz="0" w:space="0" w:color="auto"/>
            <w:bottom w:val="none" w:sz="0" w:space="0" w:color="auto"/>
            <w:right w:val="none" w:sz="0" w:space="0" w:color="auto"/>
          </w:divBdr>
        </w:div>
      </w:divsChild>
    </w:div>
    <w:div w:id="619150756">
      <w:bodyDiv w:val="1"/>
      <w:marLeft w:val="0"/>
      <w:marRight w:val="0"/>
      <w:marTop w:val="0"/>
      <w:marBottom w:val="0"/>
      <w:divBdr>
        <w:top w:val="none" w:sz="0" w:space="0" w:color="auto"/>
        <w:left w:val="none" w:sz="0" w:space="0" w:color="auto"/>
        <w:bottom w:val="none" w:sz="0" w:space="0" w:color="auto"/>
        <w:right w:val="none" w:sz="0" w:space="0" w:color="auto"/>
      </w:divBdr>
      <w:divsChild>
        <w:div w:id="496313366">
          <w:marLeft w:val="1800"/>
          <w:marRight w:val="0"/>
          <w:marTop w:val="115"/>
          <w:marBottom w:val="0"/>
          <w:divBdr>
            <w:top w:val="none" w:sz="0" w:space="0" w:color="auto"/>
            <w:left w:val="none" w:sz="0" w:space="0" w:color="auto"/>
            <w:bottom w:val="none" w:sz="0" w:space="0" w:color="auto"/>
            <w:right w:val="none" w:sz="0" w:space="0" w:color="auto"/>
          </w:divBdr>
        </w:div>
        <w:div w:id="719399302">
          <w:marLeft w:val="1800"/>
          <w:marRight w:val="0"/>
          <w:marTop w:val="115"/>
          <w:marBottom w:val="0"/>
          <w:divBdr>
            <w:top w:val="none" w:sz="0" w:space="0" w:color="auto"/>
            <w:left w:val="none" w:sz="0" w:space="0" w:color="auto"/>
            <w:bottom w:val="none" w:sz="0" w:space="0" w:color="auto"/>
            <w:right w:val="none" w:sz="0" w:space="0" w:color="auto"/>
          </w:divBdr>
        </w:div>
        <w:div w:id="1263490292">
          <w:marLeft w:val="1166"/>
          <w:marRight w:val="0"/>
          <w:marTop w:val="134"/>
          <w:marBottom w:val="0"/>
          <w:divBdr>
            <w:top w:val="none" w:sz="0" w:space="0" w:color="auto"/>
            <w:left w:val="none" w:sz="0" w:space="0" w:color="auto"/>
            <w:bottom w:val="none" w:sz="0" w:space="0" w:color="auto"/>
            <w:right w:val="none" w:sz="0" w:space="0" w:color="auto"/>
          </w:divBdr>
        </w:div>
        <w:div w:id="1304970347">
          <w:marLeft w:val="1166"/>
          <w:marRight w:val="0"/>
          <w:marTop w:val="134"/>
          <w:marBottom w:val="0"/>
          <w:divBdr>
            <w:top w:val="none" w:sz="0" w:space="0" w:color="auto"/>
            <w:left w:val="none" w:sz="0" w:space="0" w:color="auto"/>
            <w:bottom w:val="none" w:sz="0" w:space="0" w:color="auto"/>
            <w:right w:val="none" w:sz="0" w:space="0" w:color="auto"/>
          </w:divBdr>
        </w:div>
        <w:div w:id="1907182007">
          <w:marLeft w:val="1800"/>
          <w:marRight w:val="0"/>
          <w:marTop w:val="115"/>
          <w:marBottom w:val="0"/>
          <w:divBdr>
            <w:top w:val="none" w:sz="0" w:space="0" w:color="auto"/>
            <w:left w:val="none" w:sz="0" w:space="0" w:color="auto"/>
            <w:bottom w:val="none" w:sz="0" w:space="0" w:color="auto"/>
            <w:right w:val="none" w:sz="0" w:space="0" w:color="auto"/>
          </w:divBdr>
        </w:div>
        <w:div w:id="2009163400">
          <w:marLeft w:val="1800"/>
          <w:marRight w:val="0"/>
          <w:marTop w:val="115"/>
          <w:marBottom w:val="0"/>
          <w:divBdr>
            <w:top w:val="none" w:sz="0" w:space="0" w:color="auto"/>
            <w:left w:val="none" w:sz="0" w:space="0" w:color="auto"/>
            <w:bottom w:val="none" w:sz="0" w:space="0" w:color="auto"/>
            <w:right w:val="none" w:sz="0" w:space="0" w:color="auto"/>
          </w:divBdr>
        </w:div>
        <w:div w:id="2105566847">
          <w:marLeft w:val="547"/>
          <w:marRight w:val="0"/>
          <w:marTop w:val="154"/>
          <w:marBottom w:val="0"/>
          <w:divBdr>
            <w:top w:val="none" w:sz="0" w:space="0" w:color="auto"/>
            <w:left w:val="none" w:sz="0" w:space="0" w:color="auto"/>
            <w:bottom w:val="none" w:sz="0" w:space="0" w:color="auto"/>
            <w:right w:val="none" w:sz="0" w:space="0" w:color="auto"/>
          </w:divBdr>
        </w:div>
      </w:divsChild>
    </w:div>
    <w:div w:id="717631861">
      <w:bodyDiv w:val="1"/>
      <w:marLeft w:val="0"/>
      <w:marRight w:val="0"/>
      <w:marTop w:val="0"/>
      <w:marBottom w:val="0"/>
      <w:divBdr>
        <w:top w:val="none" w:sz="0" w:space="0" w:color="auto"/>
        <w:left w:val="none" w:sz="0" w:space="0" w:color="auto"/>
        <w:bottom w:val="none" w:sz="0" w:space="0" w:color="auto"/>
        <w:right w:val="none" w:sz="0" w:space="0" w:color="auto"/>
      </w:divBdr>
    </w:div>
    <w:div w:id="727802670">
      <w:bodyDiv w:val="1"/>
      <w:marLeft w:val="0"/>
      <w:marRight w:val="0"/>
      <w:marTop w:val="0"/>
      <w:marBottom w:val="0"/>
      <w:divBdr>
        <w:top w:val="none" w:sz="0" w:space="0" w:color="auto"/>
        <w:left w:val="none" w:sz="0" w:space="0" w:color="auto"/>
        <w:bottom w:val="none" w:sz="0" w:space="0" w:color="auto"/>
        <w:right w:val="none" w:sz="0" w:space="0" w:color="auto"/>
      </w:divBdr>
      <w:divsChild>
        <w:div w:id="25495166">
          <w:marLeft w:val="2520"/>
          <w:marRight w:val="0"/>
          <w:marTop w:val="62"/>
          <w:marBottom w:val="0"/>
          <w:divBdr>
            <w:top w:val="none" w:sz="0" w:space="0" w:color="auto"/>
            <w:left w:val="none" w:sz="0" w:space="0" w:color="auto"/>
            <w:bottom w:val="none" w:sz="0" w:space="0" w:color="auto"/>
            <w:right w:val="none" w:sz="0" w:space="0" w:color="auto"/>
          </w:divBdr>
        </w:div>
        <w:div w:id="164634792">
          <w:marLeft w:val="1166"/>
          <w:marRight w:val="0"/>
          <w:marTop w:val="86"/>
          <w:marBottom w:val="0"/>
          <w:divBdr>
            <w:top w:val="none" w:sz="0" w:space="0" w:color="auto"/>
            <w:left w:val="none" w:sz="0" w:space="0" w:color="auto"/>
            <w:bottom w:val="none" w:sz="0" w:space="0" w:color="auto"/>
            <w:right w:val="none" w:sz="0" w:space="0" w:color="auto"/>
          </w:divBdr>
        </w:div>
        <w:div w:id="176503574">
          <w:marLeft w:val="1166"/>
          <w:marRight w:val="0"/>
          <w:marTop w:val="86"/>
          <w:marBottom w:val="0"/>
          <w:divBdr>
            <w:top w:val="none" w:sz="0" w:space="0" w:color="auto"/>
            <w:left w:val="none" w:sz="0" w:space="0" w:color="auto"/>
            <w:bottom w:val="none" w:sz="0" w:space="0" w:color="auto"/>
            <w:right w:val="none" w:sz="0" w:space="0" w:color="auto"/>
          </w:divBdr>
        </w:div>
        <w:div w:id="252319335">
          <w:marLeft w:val="1166"/>
          <w:marRight w:val="0"/>
          <w:marTop w:val="86"/>
          <w:marBottom w:val="0"/>
          <w:divBdr>
            <w:top w:val="none" w:sz="0" w:space="0" w:color="auto"/>
            <w:left w:val="none" w:sz="0" w:space="0" w:color="auto"/>
            <w:bottom w:val="none" w:sz="0" w:space="0" w:color="auto"/>
            <w:right w:val="none" w:sz="0" w:space="0" w:color="auto"/>
          </w:divBdr>
        </w:div>
        <w:div w:id="303698594">
          <w:marLeft w:val="2520"/>
          <w:marRight w:val="0"/>
          <w:marTop w:val="62"/>
          <w:marBottom w:val="0"/>
          <w:divBdr>
            <w:top w:val="none" w:sz="0" w:space="0" w:color="auto"/>
            <w:left w:val="none" w:sz="0" w:space="0" w:color="auto"/>
            <w:bottom w:val="none" w:sz="0" w:space="0" w:color="auto"/>
            <w:right w:val="none" w:sz="0" w:space="0" w:color="auto"/>
          </w:divBdr>
        </w:div>
        <w:div w:id="728696202">
          <w:marLeft w:val="1166"/>
          <w:marRight w:val="0"/>
          <w:marTop w:val="86"/>
          <w:marBottom w:val="0"/>
          <w:divBdr>
            <w:top w:val="none" w:sz="0" w:space="0" w:color="auto"/>
            <w:left w:val="none" w:sz="0" w:space="0" w:color="auto"/>
            <w:bottom w:val="none" w:sz="0" w:space="0" w:color="auto"/>
            <w:right w:val="none" w:sz="0" w:space="0" w:color="auto"/>
          </w:divBdr>
        </w:div>
        <w:div w:id="833452546">
          <w:marLeft w:val="547"/>
          <w:marRight w:val="0"/>
          <w:marTop w:val="96"/>
          <w:marBottom w:val="0"/>
          <w:divBdr>
            <w:top w:val="none" w:sz="0" w:space="0" w:color="auto"/>
            <w:left w:val="none" w:sz="0" w:space="0" w:color="auto"/>
            <w:bottom w:val="none" w:sz="0" w:space="0" w:color="auto"/>
            <w:right w:val="none" w:sz="0" w:space="0" w:color="auto"/>
          </w:divBdr>
        </w:div>
        <w:div w:id="872227260">
          <w:marLeft w:val="547"/>
          <w:marRight w:val="0"/>
          <w:marTop w:val="96"/>
          <w:marBottom w:val="0"/>
          <w:divBdr>
            <w:top w:val="none" w:sz="0" w:space="0" w:color="auto"/>
            <w:left w:val="none" w:sz="0" w:space="0" w:color="auto"/>
            <w:bottom w:val="none" w:sz="0" w:space="0" w:color="auto"/>
            <w:right w:val="none" w:sz="0" w:space="0" w:color="auto"/>
          </w:divBdr>
        </w:div>
        <w:div w:id="1528786293">
          <w:marLeft w:val="2520"/>
          <w:marRight w:val="0"/>
          <w:marTop w:val="62"/>
          <w:marBottom w:val="0"/>
          <w:divBdr>
            <w:top w:val="none" w:sz="0" w:space="0" w:color="auto"/>
            <w:left w:val="none" w:sz="0" w:space="0" w:color="auto"/>
            <w:bottom w:val="none" w:sz="0" w:space="0" w:color="auto"/>
            <w:right w:val="none" w:sz="0" w:space="0" w:color="auto"/>
          </w:divBdr>
        </w:div>
        <w:div w:id="1601644811">
          <w:marLeft w:val="2520"/>
          <w:marRight w:val="0"/>
          <w:marTop w:val="62"/>
          <w:marBottom w:val="0"/>
          <w:divBdr>
            <w:top w:val="none" w:sz="0" w:space="0" w:color="auto"/>
            <w:left w:val="none" w:sz="0" w:space="0" w:color="auto"/>
            <w:bottom w:val="none" w:sz="0" w:space="0" w:color="auto"/>
            <w:right w:val="none" w:sz="0" w:space="0" w:color="auto"/>
          </w:divBdr>
        </w:div>
        <w:div w:id="1604219869">
          <w:marLeft w:val="2520"/>
          <w:marRight w:val="0"/>
          <w:marTop w:val="62"/>
          <w:marBottom w:val="0"/>
          <w:divBdr>
            <w:top w:val="none" w:sz="0" w:space="0" w:color="auto"/>
            <w:left w:val="none" w:sz="0" w:space="0" w:color="auto"/>
            <w:bottom w:val="none" w:sz="0" w:space="0" w:color="auto"/>
            <w:right w:val="none" w:sz="0" w:space="0" w:color="auto"/>
          </w:divBdr>
        </w:div>
        <w:div w:id="1722171495">
          <w:marLeft w:val="1166"/>
          <w:marRight w:val="0"/>
          <w:marTop w:val="86"/>
          <w:marBottom w:val="0"/>
          <w:divBdr>
            <w:top w:val="none" w:sz="0" w:space="0" w:color="auto"/>
            <w:left w:val="none" w:sz="0" w:space="0" w:color="auto"/>
            <w:bottom w:val="none" w:sz="0" w:space="0" w:color="auto"/>
            <w:right w:val="none" w:sz="0" w:space="0" w:color="auto"/>
          </w:divBdr>
        </w:div>
        <w:div w:id="1882815097">
          <w:marLeft w:val="2520"/>
          <w:marRight w:val="0"/>
          <w:marTop w:val="62"/>
          <w:marBottom w:val="0"/>
          <w:divBdr>
            <w:top w:val="none" w:sz="0" w:space="0" w:color="auto"/>
            <w:left w:val="none" w:sz="0" w:space="0" w:color="auto"/>
            <w:bottom w:val="none" w:sz="0" w:space="0" w:color="auto"/>
            <w:right w:val="none" w:sz="0" w:space="0" w:color="auto"/>
          </w:divBdr>
        </w:div>
        <w:div w:id="1890149044">
          <w:marLeft w:val="1800"/>
          <w:marRight w:val="0"/>
          <w:marTop w:val="72"/>
          <w:marBottom w:val="0"/>
          <w:divBdr>
            <w:top w:val="none" w:sz="0" w:space="0" w:color="auto"/>
            <w:left w:val="none" w:sz="0" w:space="0" w:color="auto"/>
            <w:bottom w:val="none" w:sz="0" w:space="0" w:color="auto"/>
            <w:right w:val="none" w:sz="0" w:space="0" w:color="auto"/>
          </w:divBdr>
        </w:div>
        <w:div w:id="1963876101">
          <w:marLeft w:val="2520"/>
          <w:marRight w:val="0"/>
          <w:marTop w:val="62"/>
          <w:marBottom w:val="0"/>
          <w:divBdr>
            <w:top w:val="none" w:sz="0" w:space="0" w:color="auto"/>
            <w:left w:val="none" w:sz="0" w:space="0" w:color="auto"/>
            <w:bottom w:val="none" w:sz="0" w:space="0" w:color="auto"/>
            <w:right w:val="none" w:sz="0" w:space="0" w:color="auto"/>
          </w:divBdr>
        </w:div>
        <w:div w:id="1996452064">
          <w:marLeft w:val="2520"/>
          <w:marRight w:val="0"/>
          <w:marTop w:val="62"/>
          <w:marBottom w:val="0"/>
          <w:divBdr>
            <w:top w:val="none" w:sz="0" w:space="0" w:color="auto"/>
            <w:left w:val="none" w:sz="0" w:space="0" w:color="auto"/>
            <w:bottom w:val="none" w:sz="0" w:space="0" w:color="auto"/>
            <w:right w:val="none" w:sz="0" w:space="0" w:color="auto"/>
          </w:divBdr>
        </w:div>
        <w:div w:id="2026133520">
          <w:marLeft w:val="1800"/>
          <w:marRight w:val="0"/>
          <w:marTop w:val="72"/>
          <w:marBottom w:val="0"/>
          <w:divBdr>
            <w:top w:val="none" w:sz="0" w:space="0" w:color="auto"/>
            <w:left w:val="none" w:sz="0" w:space="0" w:color="auto"/>
            <w:bottom w:val="none" w:sz="0" w:space="0" w:color="auto"/>
            <w:right w:val="none" w:sz="0" w:space="0" w:color="auto"/>
          </w:divBdr>
        </w:div>
      </w:divsChild>
    </w:div>
    <w:div w:id="797454595">
      <w:bodyDiv w:val="1"/>
      <w:marLeft w:val="0"/>
      <w:marRight w:val="0"/>
      <w:marTop w:val="0"/>
      <w:marBottom w:val="0"/>
      <w:divBdr>
        <w:top w:val="none" w:sz="0" w:space="0" w:color="auto"/>
        <w:left w:val="none" w:sz="0" w:space="0" w:color="auto"/>
        <w:bottom w:val="none" w:sz="0" w:space="0" w:color="auto"/>
        <w:right w:val="none" w:sz="0" w:space="0" w:color="auto"/>
      </w:divBdr>
    </w:div>
    <w:div w:id="825166010">
      <w:bodyDiv w:val="1"/>
      <w:marLeft w:val="0"/>
      <w:marRight w:val="0"/>
      <w:marTop w:val="0"/>
      <w:marBottom w:val="0"/>
      <w:divBdr>
        <w:top w:val="none" w:sz="0" w:space="0" w:color="auto"/>
        <w:left w:val="none" w:sz="0" w:space="0" w:color="auto"/>
        <w:bottom w:val="none" w:sz="0" w:space="0" w:color="auto"/>
        <w:right w:val="none" w:sz="0" w:space="0" w:color="auto"/>
      </w:divBdr>
    </w:div>
    <w:div w:id="924266035">
      <w:bodyDiv w:val="1"/>
      <w:marLeft w:val="0"/>
      <w:marRight w:val="0"/>
      <w:marTop w:val="0"/>
      <w:marBottom w:val="0"/>
      <w:divBdr>
        <w:top w:val="none" w:sz="0" w:space="0" w:color="auto"/>
        <w:left w:val="none" w:sz="0" w:space="0" w:color="auto"/>
        <w:bottom w:val="none" w:sz="0" w:space="0" w:color="auto"/>
        <w:right w:val="none" w:sz="0" w:space="0" w:color="auto"/>
      </w:divBdr>
    </w:div>
    <w:div w:id="1021587178">
      <w:bodyDiv w:val="1"/>
      <w:marLeft w:val="0"/>
      <w:marRight w:val="0"/>
      <w:marTop w:val="0"/>
      <w:marBottom w:val="0"/>
      <w:divBdr>
        <w:top w:val="none" w:sz="0" w:space="0" w:color="auto"/>
        <w:left w:val="none" w:sz="0" w:space="0" w:color="auto"/>
        <w:bottom w:val="none" w:sz="0" w:space="0" w:color="auto"/>
        <w:right w:val="none" w:sz="0" w:space="0" w:color="auto"/>
      </w:divBdr>
      <w:divsChild>
        <w:div w:id="1708018671">
          <w:marLeft w:val="547"/>
          <w:marRight w:val="0"/>
          <w:marTop w:val="0"/>
          <w:marBottom w:val="0"/>
          <w:divBdr>
            <w:top w:val="none" w:sz="0" w:space="0" w:color="auto"/>
            <w:left w:val="none" w:sz="0" w:space="0" w:color="auto"/>
            <w:bottom w:val="none" w:sz="0" w:space="0" w:color="auto"/>
            <w:right w:val="none" w:sz="0" w:space="0" w:color="auto"/>
          </w:divBdr>
        </w:div>
      </w:divsChild>
    </w:div>
    <w:div w:id="1034814656">
      <w:bodyDiv w:val="1"/>
      <w:marLeft w:val="0"/>
      <w:marRight w:val="0"/>
      <w:marTop w:val="0"/>
      <w:marBottom w:val="0"/>
      <w:divBdr>
        <w:top w:val="none" w:sz="0" w:space="0" w:color="auto"/>
        <w:left w:val="none" w:sz="0" w:space="0" w:color="auto"/>
        <w:bottom w:val="none" w:sz="0" w:space="0" w:color="auto"/>
        <w:right w:val="none" w:sz="0" w:space="0" w:color="auto"/>
      </w:divBdr>
      <w:divsChild>
        <w:div w:id="247732029">
          <w:marLeft w:val="547"/>
          <w:marRight w:val="0"/>
          <w:marTop w:val="134"/>
          <w:marBottom w:val="0"/>
          <w:divBdr>
            <w:top w:val="none" w:sz="0" w:space="0" w:color="auto"/>
            <w:left w:val="none" w:sz="0" w:space="0" w:color="auto"/>
            <w:bottom w:val="none" w:sz="0" w:space="0" w:color="auto"/>
            <w:right w:val="none" w:sz="0" w:space="0" w:color="auto"/>
          </w:divBdr>
        </w:div>
        <w:div w:id="591790136">
          <w:marLeft w:val="1166"/>
          <w:marRight w:val="0"/>
          <w:marTop w:val="115"/>
          <w:marBottom w:val="0"/>
          <w:divBdr>
            <w:top w:val="none" w:sz="0" w:space="0" w:color="auto"/>
            <w:left w:val="none" w:sz="0" w:space="0" w:color="auto"/>
            <w:bottom w:val="none" w:sz="0" w:space="0" w:color="auto"/>
            <w:right w:val="none" w:sz="0" w:space="0" w:color="auto"/>
          </w:divBdr>
        </w:div>
        <w:div w:id="596063325">
          <w:marLeft w:val="547"/>
          <w:marRight w:val="0"/>
          <w:marTop w:val="134"/>
          <w:marBottom w:val="0"/>
          <w:divBdr>
            <w:top w:val="none" w:sz="0" w:space="0" w:color="auto"/>
            <w:left w:val="none" w:sz="0" w:space="0" w:color="auto"/>
            <w:bottom w:val="none" w:sz="0" w:space="0" w:color="auto"/>
            <w:right w:val="none" w:sz="0" w:space="0" w:color="auto"/>
          </w:divBdr>
        </w:div>
        <w:div w:id="883981379">
          <w:marLeft w:val="1166"/>
          <w:marRight w:val="0"/>
          <w:marTop w:val="115"/>
          <w:marBottom w:val="0"/>
          <w:divBdr>
            <w:top w:val="none" w:sz="0" w:space="0" w:color="auto"/>
            <w:left w:val="none" w:sz="0" w:space="0" w:color="auto"/>
            <w:bottom w:val="none" w:sz="0" w:space="0" w:color="auto"/>
            <w:right w:val="none" w:sz="0" w:space="0" w:color="auto"/>
          </w:divBdr>
        </w:div>
        <w:div w:id="1195120923">
          <w:marLeft w:val="1166"/>
          <w:marRight w:val="0"/>
          <w:marTop w:val="115"/>
          <w:marBottom w:val="0"/>
          <w:divBdr>
            <w:top w:val="none" w:sz="0" w:space="0" w:color="auto"/>
            <w:left w:val="none" w:sz="0" w:space="0" w:color="auto"/>
            <w:bottom w:val="none" w:sz="0" w:space="0" w:color="auto"/>
            <w:right w:val="none" w:sz="0" w:space="0" w:color="auto"/>
          </w:divBdr>
        </w:div>
        <w:div w:id="1913157288">
          <w:marLeft w:val="1166"/>
          <w:marRight w:val="0"/>
          <w:marTop w:val="115"/>
          <w:marBottom w:val="0"/>
          <w:divBdr>
            <w:top w:val="none" w:sz="0" w:space="0" w:color="auto"/>
            <w:left w:val="none" w:sz="0" w:space="0" w:color="auto"/>
            <w:bottom w:val="none" w:sz="0" w:space="0" w:color="auto"/>
            <w:right w:val="none" w:sz="0" w:space="0" w:color="auto"/>
          </w:divBdr>
        </w:div>
      </w:divsChild>
    </w:div>
    <w:div w:id="1342001871">
      <w:bodyDiv w:val="1"/>
      <w:marLeft w:val="0"/>
      <w:marRight w:val="0"/>
      <w:marTop w:val="0"/>
      <w:marBottom w:val="0"/>
      <w:divBdr>
        <w:top w:val="none" w:sz="0" w:space="0" w:color="auto"/>
        <w:left w:val="none" w:sz="0" w:space="0" w:color="auto"/>
        <w:bottom w:val="none" w:sz="0" w:space="0" w:color="auto"/>
        <w:right w:val="none" w:sz="0" w:space="0" w:color="auto"/>
      </w:divBdr>
      <w:divsChild>
        <w:div w:id="16738543">
          <w:marLeft w:val="1166"/>
          <w:marRight w:val="0"/>
          <w:marTop w:val="115"/>
          <w:marBottom w:val="0"/>
          <w:divBdr>
            <w:top w:val="none" w:sz="0" w:space="0" w:color="auto"/>
            <w:left w:val="none" w:sz="0" w:space="0" w:color="auto"/>
            <w:bottom w:val="none" w:sz="0" w:space="0" w:color="auto"/>
            <w:right w:val="none" w:sz="0" w:space="0" w:color="auto"/>
          </w:divBdr>
        </w:div>
        <w:div w:id="526678221">
          <w:marLeft w:val="1166"/>
          <w:marRight w:val="0"/>
          <w:marTop w:val="115"/>
          <w:marBottom w:val="0"/>
          <w:divBdr>
            <w:top w:val="none" w:sz="0" w:space="0" w:color="auto"/>
            <w:left w:val="none" w:sz="0" w:space="0" w:color="auto"/>
            <w:bottom w:val="none" w:sz="0" w:space="0" w:color="auto"/>
            <w:right w:val="none" w:sz="0" w:space="0" w:color="auto"/>
          </w:divBdr>
        </w:div>
        <w:div w:id="1047880053">
          <w:marLeft w:val="547"/>
          <w:marRight w:val="0"/>
          <w:marTop w:val="130"/>
          <w:marBottom w:val="0"/>
          <w:divBdr>
            <w:top w:val="none" w:sz="0" w:space="0" w:color="auto"/>
            <w:left w:val="none" w:sz="0" w:space="0" w:color="auto"/>
            <w:bottom w:val="none" w:sz="0" w:space="0" w:color="auto"/>
            <w:right w:val="none" w:sz="0" w:space="0" w:color="auto"/>
          </w:divBdr>
        </w:div>
        <w:div w:id="2144148745">
          <w:marLeft w:val="1166"/>
          <w:marRight w:val="0"/>
          <w:marTop w:val="115"/>
          <w:marBottom w:val="0"/>
          <w:divBdr>
            <w:top w:val="none" w:sz="0" w:space="0" w:color="auto"/>
            <w:left w:val="none" w:sz="0" w:space="0" w:color="auto"/>
            <w:bottom w:val="none" w:sz="0" w:space="0" w:color="auto"/>
            <w:right w:val="none" w:sz="0" w:space="0" w:color="auto"/>
          </w:divBdr>
        </w:div>
      </w:divsChild>
    </w:div>
    <w:div w:id="1465006040">
      <w:bodyDiv w:val="1"/>
      <w:marLeft w:val="0"/>
      <w:marRight w:val="0"/>
      <w:marTop w:val="0"/>
      <w:marBottom w:val="0"/>
      <w:divBdr>
        <w:top w:val="none" w:sz="0" w:space="0" w:color="auto"/>
        <w:left w:val="none" w:sz="0" w:space="0" w:color="auto"/>
        <w:bottom w:val="none" w:sz="0" w:space="0" w:color="auto"/>
        <w:right w:val="none" w:sz="0" w:space="0" w:color="auto"/>
      </w:divBdr>
      <w:divsChild>
        <w:div w:id="538250055">
          <w:marLeft w:val="1800"/>
          <w:marRight w:val="0"/>
          <w:marTop w:val="96"/>
          <w:marBottom w:val="0"/>
          <w:divBdr>
            <w:top w:val="none" w:sz="0" w:space="0" w:color="auto"/>
            <w:left w:val="none" w:sz="0" w:space="0" w:color="auto"/>
            <w:bottom w:val="none" w:sz="0" w:space="0" w:color="auto"/>
            <w:right w:val="none" w:sz="0" w:space="0" w:color="auto"/>
          </w:divBdr>
        </w:div>
        <w:div w:id="961955031">
          <w:marLeft w:val="1800"/>
          <w:marRight w:val="0"/>
          <w:marTop w:val="96"/>
          <w:marBottom w:val="0"/>
          <w:divBdr>
            <w:top w:val="none" w:sz="0" w:space="0" w:color="auto"/>
            <w:left w:val="none" w:sz="0" w:space="0" w:color="auto"/>
            <w:bottom w:val="none" w:sz="0" w:space="0" w:color="auto"/>
            <w:right w:val="none" w:sz="0" w:space="0" w:color="auto"/>
          </w:divBdr>
        </w:div>
        <w:div w:id="1137064276">
          <w:marLeft w:val="547"/>
          <w:marRight w:val="0"/>
          <w:marTop w:val="130"/>
          <w:marBottom w:val="0"/>
          <w:divBdr>
            <w:top w:val="none" w:sz="0" w:space="0" w:color="auto"/>
            <w:left w:val="none" w:sz="0" w:space="0" w:color="auto"/>
            <w:bottom w:val="none" w:sz="0" w:space="0" w:color="auto"/>
            <w:right w:val="none" w:sz="0" w:space="0" w:color="auto"/>
          </w:divBdr>
        </w:div>
        <w:div w:id="1325552804">
          <w:marLeft w:val="1800"/>
          <w:marRight w:val="0"/>
          <w:marTop w:val="96"/>
          <w:marBottom w:val="0"/>
          <w:divBdr>
            <w:top w:val="none" w:sz="0" w:space="0" w:color="auto"/>
            <w:left w:val="none" w:sz="0" w:space="0" w:color="auto"/>
            <w:bottom w:val="none" w:sz="0" w:space="0" w:color="auto"/>
            <w:right w:val="none" w:sz="0" w:space="0" w:color="auto"/>
          </w:divBdr>
        </w:div>
        <w:div w:id="1448617790">
          <w:marLeft w:val="1166"/>
          <w:marRight w:val="0"/>
          <w:marTop w:val="115"/>
          <w:marBottom w:val="0"/>
          <w:divBdr>
            <w:top w:val="none" w:sz="0" w:space="0" w:color="auto"/>
            <w:left w:val="none" w:sz="0" w:space="0" w:color="auto"/>
            <w:bottom w:val="none" w:sz="0" w:space="0" w:color="auto"/>
            <w:right w:val="none" w:sz="0" w:space="0" w:color="auto"/>
          </w:divBdr>
        </w:div>
        <w:div w:id="1952663080">
          <w:marLeft w:val="1800"/>
          <w:marRight w:val="0"/>
          <w:marTop w:val="96"/>
          <w:marBottom w:val="0"/>
          <w:divBdr>
            <w:top w:val="none" w:sz="0" w:space="0" w:color="auto"/>
            <w:left w:val="none" w:sz="0" w:space="0" w:color="auto"/>
            <w:bottom w:val="none" w:sz="0" w:space="0" w:color="auto"/>
            <w:right w:val="none" w:sz="0" w:space="0" w:color="auto"/>
          </w:divBdr>
        </w:div>
        <w:div w:id="2042437733">
          <w:marLeft w:val="1800"/>
          <w:marRight w:val="0"/>
          <w:marTop w:val="96"/>
          <w:marBottom w:val="0"/>
          <w:divBdr>
            <w:top w:val="none" w:sz="0" w:space="0" w:color="auto"/>
            <w:left w:val="none" w:sz="0" w:space="0" w:color="auto"/>
            <w:bottom w:val="none" w:sz="0" w:space="0" w:color="auto"/>
            <w:right w:val="none" w:sz="0" w:space="0" w:color="auto"/>
          </w:divBdr>
        </w:div>
      </w:divsChild>
    </w:div>
    <w:div w:id="1639262564">
      <w:bodyDiv w:val="1"/>
      <w:marLeft w:val="0"/>
      <w:marRight w:val="0"/>
      <w:marTop w:val="0"/>
      <w:marBottom w:val="0"/>
      <w:divBdr>
        <w:top w:val="none" w:sz="0" w:space="0" w:color="auto"/>
        <w:left w:val="none" w:sz="0" w:space="0" w:color="auto"/>
        <w:bottom w:val="none" w:sz="0" w:space="0" w:color="auto"/>
        <w:right w:val="none" w:sz="0" w:space="0" w:color="auto"/>
      </w:divBdr>
    </w:div>
    <w:div w:id="19899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terservicesthatlast.org/index.php/Resources/Multi-country-synthesis"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aterservicesthatlast.org/Media/Files/draft_indicators_for_evaluating_sustainable_rural_water_services_in_gh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6161-334C-4351-87BB-60030C932A2D}">
  <ds:schemaRefs>
    <ds:schemaRef ds:uri="http://schemas.openxmlformats.org/officeDocument/2006/bibliography"/>
  </ds:schemaRefs>
</ds:datastoreItem>
</file>

<file path=customXml/itemProps2.xml><?xml version="1.0" encoding="utf-8"?>
<ds:datastoreItem xmlns:ds="http://schemas.openxmlformats.org/officeDocument/2006/customXml" ds:itemID="{4C9389D1-99F9-4C22-9B8B-3759C862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5179</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34636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adank</cp:lastModifiedBy>
  <cp:revision>3</cp:revision>
  <cp:lastPrinted>2013-03-26T07:31:00Z</cp:lastPrinted>
  <dcterms:created xsi:type="dcterms:W3CDTF">2014-08-13T07:27:00Z</dcterms:created>
  <dcterms:modified xsi:type="dcterms:W3CDTF">2014-08-13T07:30:00Z</dcterms:modified>
</cp:coreProperties>
</file>